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71A" w:rsidRPr="0082571A" w:rsidRDefault="0082571A" w:rsidP="0082571A">
      <w:pPr>
        <w:pBdr>
          <w:top w:val="nil"/>
          <w:left w:val="nil"/>
          <w:bottom w:val="nil"/>
          <w:right w:val="nil"/>
          <w:between w:val="nil"/>
          <w:bar w:val="nil"/>
        </w:pBdr>
        <w:spacing w:after="0"/>
        <w:jc w:val="center"/>
        <w:rPr>
          <w:rFonts w:ascii="Times New Roman" w:eastAsia="Times New Roman" w:hAnsi="Times New Roman" w:cs="Times New Roman"/>
          <w:b/>
          <w:bCs/>
          <w:color w:val="000000"/>
          <w:u w:color="000000"/>
          <w:bdr w:val="nil"/>
          <w:lang w:val="en-US"/>
        </w:rPr>
      </w:pPr>
      <w:proofErr w:type="gramStart"/>
      <w:r w:rsidRPr="0082571A">
        <w:rPr>
          <w:rFonts w:ascii="Times New Roman" w:eastAsia="Calibri" w:hAnsi="Times New Roman" w:cs="Times New Roman"/>
          <w:b/>
          <w:bCs/>
          <w:color w:val="000000"/>
          <w:u w:color="000000"/>
          <w:bdr w:val="nil"/>
          <w:lang w:val="en-US"/>
        </w:rPr>
        <w:t xml:space="preserve">Effect of plant growth regulators and dark </w:t>
      </w:r>
      <w:r w:rsidR="005F7857">
        <w:rPr>
          <w:rFonts w:ascii="Times New Roman" w:eastAsia="Calibri" w:hAnsi="Times New Roman" w:cs="Times New Roman"/>
          <w:b/>
          <w:bCs/>
          <w:color w:val="000000"/>
          <w:u w:color="000000"/>
          <w:bdr w:val="nil"/>
          <w:lang w:val="en-US"/>
        </w:rPr>
        <w:t>stress</w:t>
      </w:r>
      <w:r w:rsidR="00316F0A">
        <w:rPr>
          <w:rFonts w:ascii="Times New Roman" w:eastAsia="Calibri" w:hAnsi="Times New Roman" w:cs="Times New Roman"/>
          <w:b/>
          <w:bCs/>
          <w:color w:val="000000"/>
          <w:u w:color="000000"/>
          <w:bdr w:val="nil"/>
          <w:lang w:val="en-US"/>
        </w:rPr>
        <w:t xml:space="preserve"> </w:t>
      </w:r>
      <w:r w:rsidRPr="0082571A">
        <w:rPr>
          <w:rFonts w:ascii="Times New Roman" w:eastAsia="Calibri" w:hAnsi="Times New Roman" w:cs="Times New Roman"/>
          <w:b/>
          <w:bCs/>
          <w:color w:val="000000"/>
          <w:u w:color="000000"/>
          <w:bdr w:val="nil"/>
          <w:lang w:val="en-US"/>
        </w:rPr>
        <w:t>on croton (</w:t>
      </w:r>
      <w:r w:rsidRPr="0082571A">
        <w:rPr>
          <w:rFonts w:ascii="Times New Roman" w:eastAsia="Calibri" w:hAnsi="Times New Roman" w:cs="Times New Roman"/>
          <w:b/>
          <w:bCs/>
          <w:i/>
          <w:iCs/>
          <w:color w:val="000000"/>
          <w:u w:color="000000"/>
          <w:bdr w:val="nil"/>
          <w:lang w:val="it-IT"/>
        </w:rPr>
        <w:t>Codiaeum variegatum</w:t>
      </w:r>
      <w:r w:rsidRPr="0082571A">
        <w:rPr>
          <w:rFonts w:ascii="Times New Roman" w:eastAsia="Calibri" w:hAnsi="Times New Roman" w:cs="Times New Roman"/>
          <w:b/>
          <w:bCs/>
          <w:color w:val="000000"/>
          <w:u w:color="000000"/>
          <w:bdr w:val="nil"/>
          <w:lang w:val="en-US"/>
        </w:rPr>
        <w:t>) callus induction.</w:t>
      </w:r>
      <w:proofErr w:type="gramEnd"/>
    </w:p>
    <w:p w:rsidR="0082571A" w:rsidRPr="0082571A" w:rsidRDefault="0082571A" w:rsidP="0082571A">
      <w:pPr>
        <w:pBdr>
          <w:top w:val="nil"/>
          <w:left w:val="nil"/>
          <w:bottom w:val="nil"/>
          <w:right w:val="nil"/>
          <w:between w:val="nil"/>
          <w:bar w:val="nil"/>
        </w:pBdr>
        <w:spacing w:after="0"/>
        <w:jc w:val="both"/>
        <w:rPr>
          <w:rFonts w:ascii="Times New Roman" w:eastAsia="Times New Roman" w:hAnsi="Times New Roman" w:cs="Times New Roman"/>
          <w:b/>
          <w:bCs/>
          <w:color w:val="000000"/>
          <w:u w:color="000000"/>
          <w:bdr w:val="nil"/>
          <w:lang w:val="en-US"/>
        </w:rPr>
      </w:pPr>
    </w:p>
    <w:p w:rsidR="0082571A" w:rsidRPr="0082571A" w:rsidRDefault="0082571A" w:rsidP="0082571A">
      <w:pPr>
        <w:pBdr>
          <w:top w:val="nil"/>
          <w:left w:val="nil"/>
          <w:bottom w:val="nil"/>
          <w:right w:val="nil"/>
          <w:between w:val="nil"/>
          <w:bar w:val="nil"/>
        </w:pBdr>
        <w:spacing w:after="0"/>
        <w:jc w:val="both"/>
        <w:rPr>
          <w:rFonts w:ascii="Times New Roman" w:eastAsia="Times New Roman" w:hAnsi="Times New Roman" w:cs="Times New Roman"/>
          <w:b/>
          <w:bCs/>
          <w:color w:val="000000"/>
          <w:u w:color="000000"/>
          <w:bdr w:val="nil"/>
          <w:lang w:val="en-US"/>
        </w:rPr>
      </w:pPr>
    </w:p>
    <w:p w:rsidR="0082571A" w:rsidRPr="0082571A" w:rsidRDefault="0082571A" w:rsidP="0082571A">
      <w:pPr>
        <w:pBdr>
          <w:top w:val="nil"/>
          <w:left w:val="nil"/>
          <w:bottom w:val="nil"/>
          <w:right w:val="nil"/>
          <w:between w:val="nil"/>
          <w:bar w:val="nil"/>
        </w:pBdr>
        <w:spacing w:after="0"/>
        <w:jc w:val="both"/>
        <w:rPr>
          <w:rFonts w:ascii="Times New Roman" w:eastAsia="Times New Roman" w:hAnsi="Times New Roman" w:cs="Times New Roman"/>
          <w:b/>
          <w:bCs/>
          <w:color w:val="000000"/>
          <w:u w:color="000000"/>
          <w:bdr w:val="nil"/>
          <w:lang w:val="en-US"/>
        </w:rPr>
      </w:pPr>
      <w:r w:rsidRPr="0082571A">
        <w:rPr>
          <w:rFonts w:ascii="Times New Roman" w:eastAsia="Calibri" w:hAnsi="Times New Roman" w:cs="Times New Roman"/>
          <w:b/>
          <w:bCs/>
          <w:color w:val="000000"/>
          <w:u w:color="000000"/>
          <w:bdr w:val="nil"/>
          <w:lang w:val="de-DE"/>
        </w:rPr>
        <w:t>Abstract</w:t>
      </w:r>
    </w:p>
    <w:p w:rsidR="0082571A" w:rsidRPr="0082571A" w:rsidRDefault="0082571A" w:rsidP="0082571A">
      <w:pPr>
        <w:pBdr>
          <w:top w:val="nil"/>
          <w:left w:val="nil"/>
          <w:bottom w:val="nil"/>
          <w:right w:val="nil"/>
          <w:between w:val="nil"/>
          <w:bar w:val="nil"/>
        </w:pBdr>
        <w:spacing w:after="0"/>
        <w:jc w:val="both"/>
        <w:rPr>
          <w:rFonts w:ascii="Times New Roman" w:eastAsia="Times New Roman" w:hAnsi="Times New Roman" w:cs="Times New Roman"/>
          <w:color w:val="000000"/>
          <w:u w:color="000000"/>
          <w:bdr w:val="nil"/>
          <w:lang w:val="en-US"/>
        </w:rPr>
      </w:pPr>
      <w:r w:rsidRPr="0082571A">
        <w:rPr>
          <w:rFonts w:ascii="Times New Roman" w:eastAsia="Calibri" w:hAnsi="Times New Roman" w:cs="Times New Roman"/>
          <w:color w:val="000000"/>
          <w:u w:color="000000"/>
          <w:bdr w:val="nil"/>
          <w:lang w:val="en-US"/>
        </w:rPr>
        <w:t>The croton (</w:t>
      </w:r>
      <w:proofErr w:type="spellStart"/>
      <w:r w:rsidRPr="004342C8">
        <w:rPr>
          <w:rFonts w:ascii="Times New Roman" w:eastAsia="Calibri" w:hAnsi="Times New Roman" w:cs="Times New Roman"/>
          <w:i/>
          <w:color w:val="000000"/>
          <w:u w:color="000000"/>
          <w:bdr w:val="nil"/>
          <w:lang w:val="en-US"/>
        </w:rPr>
        <w:t>Codiaeum</w:t>
      </w:r>
      <w:proofErr w:type="spellEnd"/>
      <w:r w:rsidRPr="004342C8">
        <w:rPr>
          <w:rFonts w:ascii="Times New Roman" w:eastAsia="Calibri" w:hAnsi="Times New Roman" w:cs="Times New Roman"/>
          <w:i/>
          <w:color w:val="000000"/>
          <w:u w:color="000000"/>
          <w:bdr w:val="nil"/>
          <w:lang w:val="en-US"/>
        </w:rPr>
        <w:t xml:space="preserve"> </w:t>
      </w:r>
      <w:proofErr w:type="spellStart"/>
      <w:r w:rsidRPr="004342C8">
        <w:rPr>
          <w:rFonts w:ascii="Times New Roman" w:eastAsia="Calibri" w:hAnsi="Times New Roman" w:cs="Times New Roman"/>
          <w:i/>
          <w:color w:val="000000"/>
          <w:u w:color="000000"/>
          <w:bdr w:val="nil"/>
          <w:lang w:val="en-US"/>
        </w:rPr>
        <w:t>variegatum</w:t>
      </w:r>
      <w:proofErr w:type="spellEnd"/>
      <w:r w:rsidRPr="0082571A">
        <w:rPr>
          <w:rFonts w:ascii="Times New Roman" w:eastAsia="Calibri" w:hAnsi="Times New Roman" w:cs="Times New Roman"/>
          <w:color w:val="000000"/>
          <w:u w:color="000000"/>
          <w:bdr w:val="nil"/>
          <w:lang w:val="en-US"/>
        </w:rPr>
        <w:t xml:space="preserve">) plant, with its magnificent leaf colors, is a beautiful indoor and outdoor ornamental plant as well as its leaf extracts </w:t>
      </w:r>
      <w:proofErr w:type="gramStart"/>
      <w:r w:rsidRPr="0082571A">
        <w:rPr>
          <w:rFonts w:ascii="Times New Roman" w:eastAsia="Calibri" w:hAnsi="Times New Roman" w:cs="Times New Roman"/>
          <w:color w:val="000000"/>
          <w:u w:color="000000"/>
          <w:bdr w:val="nil"/>
          <w:lang w:val="en-US"/>
        </w:rPr>
        <w:t>have</w:t>
      </w:r>
      <w:proofErr w:type="gramEnd"/>
      <w:r w:rsidRPr="0082571A">
        <w:rPr>
          <w:rFonts w:ascii="Times New Roman" w:eastAsia="Calibri" w:hAnsi="Times New Roman" w:cs="Times New Roman"/>
          <w:color w:val="000000"/>
          <w:u w:color="000000"/>
          <w:bdr w:val="nil"/>
          <w:lang w:val="en-US"/>
        </w:rPr>
        <w:t xml:space="preserve"> many medicinal properties. Usually, crotons are propagated </w:t>
      </w:r>
      <w:proofErr w:type="spellStart"/>
      <w:r w:rsidRPr="0082571A">
        <w:rPr>
          <w:rFonts w:ascii="Times New Roman" w:eastAsia="Calibri" w:hAnsi="Times New Roman" w:cs="Times New Roman"/>
          <w:color w:val="000000"/>
          <w:u w:color="000000"/>
          <w:bdr w:val="nil"/>
          <w:lang w:val="en-US"/>
        </w:rPr>
        <w:t>vegetatively</w:t>
      </w:r>
      <w:proofErr w:type="spellEnd"/>
      <w:r w:rsidRPr="0082571A">
        <w:rPr>
          <w:rFonts w:ascii="Times New Roman" w:eastAsia="Calibri" w:hAnsi="Times New Roman" w:cs="Times New Roman"/>
          <w:color w:val="000000"/>
          <w:u w:color="000000"/>
          <w:bdr w:val="nil"/>
          <w:lang w:val="en-US"/>
        </w:rPr>
        <w:t xml:space="preserve">. This process is slow in response and many parent plant stocks need to be maintained. </w:t>
      </w:r>
      <w:proofErr w:type="spellStart"/>
      <w:r w:rsidRPr="0082571A">
        <w:rPr>
          <w:rFonts w:ascii="Times New Roman" w:eastAsia="Calibri" w:hAnsi="Times New Roman" w:cs="Times New Roman"/>
          <w:color w:val="000000"/>
          <w:u w:color="000000"/>
          <w:bdr w:val="nil"/>
          <w:lang w:val="en-US"/>
        </w:rPr>
        <w:t>Micropropagation</w:t>
      </w:r>
      <w:proofErr w:type="spellEnd"/>
      <w:r w:rsidRPr="0082571A">
        <w:rPr>
          <w:rFonts w:ascii="Times New Roman" w:eastAsia="Calibri" w:hAnsi="Times New Roman" w:cs="Times New Roman"/>
          <w:color w:val="000000"/>
          <w:u w:color="000000"/>
          <w:bdr w:val="nil"/>
          <w:lang w:val="en-US"/>
        </w:rPr>
        <w:t xml:space="preserve"> is an alternative propagation method that can meet its high demand in a relatively short time. Callus culture is a tissue culture method that is used both in </w:t>
      </w:r>
      <w:proofErr w:type="spellStart"/>
      <w:r w:rsidRPr="0082571A">
        <w:rPr>
          <w:rFonts w:ascii="Times New Roman" w:eastAsia="Calibri" w:hAnsi="Times New Roman" w:cs="Times New Roman"/>
          <w:color w:val="000000"/>
          <w:u w:color="000000"/>
          <w:bdr w:val="nil"/>
          <w:lang w:val="en-US"/>
        </w:rPr>
        <w:t>micropropagation</w:t>
      </w:r>
      <w:proofErr w:type="spellEnd"/>
      <w:r w:rsidRPr="0082571A">
        <w:rPr>
          <w:rFonts w:ascii="Times New Roman" w:eastAsia="Calibri" w:hAnsi="Times New Roman" w:cs="Times New Roman"/>
          <w:color w:val="000000"/>
          <w:u w:color="000000"/>
          <w:bdr w:val="nil"/>
          <w:lang w:val="en-US"/>
        </w:rPr>
        <w:t xml:space="preserve"> and in the production of secondary metabolites. The purpose of this study is to determine the effects of different growth plant regulators and dark growth conditions on callus induction of croton (</w:t>
      </w:r>
      <w:proofErr w:type="spellStart"/>
      <w:r w:rsidRPr="0082571A">
        <w:rPr>
          <w:rFonts w:ascii="Times New Roman" w:eastAsia="Calibri" w:hAnsi="Times New Roman" w:cs="Times New Roman"/>
          <w:color w:val="000000"/>
          <w:u w:color="000000"/>
          <w:bdr w:val="nil"/>
          <w:lang w:val="en-US"/>
        </w:rPr>
        <w:t>Codiaeum</w:t>
      </w:r>
      <w:proofErr w:type="spellEnd"/>
      <w:r w:rsidRPr="0082571A">
        <w:rPr>
          <w:rFonts w:ascii="Times New Roman" w:eastAsia="Calibri" w:hAnsi="Times New Roman" w:cs="Times New Roman"/>
          <w:color w:val="000000"/>
          <w:u w:color="000000"/>
          <w:bdr w:val="nil"/>
          <w:lang w:val="en-US"/>
        </w:rPr>
        <w:t xml:space="preserve"> </w:t>
      </w:r>
      <w:proofErr w:type="spellStart"/>
      <w:r w:rsidRPr="0082571A">
        <w:rPr>
          <w:rFonts w:ascii="Times New Roman" w:eastAsia="Calibri" w:hAnsi="Times New Roman" w:cs="Times New Roman"/>
          <w:color w:val="000000"/>
          <w:u w:color="000000"/>
          <w:bdr w:val="nil"/>
          <w:lang w:val="en-US"/>
        </w:rPr>
        <w:t>variegatum</w:t>
      </w:r>
      <w:proofErr w:type="spellEnd"/>
      <w:r w:rsidRPr="0082571A">
        <w:rPr>
          <w:rFonts w:ascii="Times New Roman" w:eastAsia="Calibri" w:hAnsi="Times New Roman" w:cs="Times New Roman"/>
          <w:color w:val="000000"/>
          <w:u w:color="000000"/>
          <w:bdr w:val="nil"/>
          <w:lang w:val="en-US"/>
        </w:rPr>
        <w:t xml:space="preserve">). </w:t>
      </w:r>
      <w:r w:rsidR="00E24F3B" w:rsidRPr="00E24F3B">
        <w:rPr>
          <w:rFonts w:ascii="Times New Roman" w:eastAsia="Calibri" w:hAnsi="Times New Roman" w:cs="Times New Roman"/>
          <w:color w:val="000000"/>
          <w:u w:color="000000"/>
          <w:bdr w:val="nil"/>
          <w:lang w:val="en-US"/>
        </w:rPr>
        <w:t>MS medium with 3 % sucrose, 0,8 % agar and different combinations of kinetin, benzyl amino purine (BAP) and Naphthalene acetic acid (NAA) was used.</w:t>
      </w:r>
      <w:r w:rsidRPr="0082571A">
        <w:rPr>
          <w:rFonts w:ascii="Times New Roman" w:eastAsia="Calibri" w:hAnsi="Times New Roman" w:cs="Times New Roman"/>
          <w:color w:val="000000"/>
          <w:u w:color="000000"/>
          <w:bdr w:val="nil"/>
          <w:lang w:val="en-US"/>
        </w:rPr>
        <w:t>The highest callus diameter was measured as 1.0 cm in M9 medium under both dark and light growth conditions. The maintained dark conditions had a significant effect on callus induction in M4 and M9 media. While callus formation was 22.2% in these nutrient media kept in day/night conditions, it was 94.44 % in dark conditions.</w:t>
      </w:r>
    </w:p>
    <w:p w:rsidR="0082571A" w:rsidRPr="0082571A" w:rsidRDefault="0082571A" w:rsidP="0082571A">
      <w:pPr>
        <w:pBdr>
          <w:top w:val="nil"/>
          <w:left w:val="nil"/>
          <w:bottom w:val="nil"/>
          <w:right w:val="nil"/>
          <w:between w:val="nil"/>
          <w:bar w:val="nil"/>
        </w:pBdr>
        <w:spacing w:after="0"/>
        <w:jc w:val="both"/>
        <w:rPr>
          <w:rFonts w:ascii="Times New Roman" w:eastAsia="Times New Roman" w:hAnsi="Times New Roman" w:cs="Times New Roman"/>
          <w:color w:val="000000"/>
          <w:u w:color="000000"/>
          <w:bdr w:val="nil"/>
          <w:lang w:val="en-US"/>
        </w:rPr>
      </w:pPr>
    </w:p>
    <w:p w:rsidR="0082571A" w:rsidRPr="0082571A" w:rsidRDefault="0082571A" w:rsidP="0082571A">
      <w:pPr>
        <w:pBdr>
          <w:top w:val="nil"/>
          <w:left w:val="nil"/>
          <w:bottom w:val="nil"/>
          <w:right w:val="nil"/>
          <w:between w:val="nil"/>
          <w:bar w:val="nil"/>
        </w:pBdr>
        <w:spacing w:after="0"/>
        <w:jc w:val="both"/>
        <w:rPr>
          <w:rFonts w:ascii="Times New Roman" w:eastAsia="Times New Roman" w:hAnsi="Times New Roman" w:cs="Times New Roman"/>
          <w:color w:val="000000"/>
          <w:u w:color="000000"/>
          <w:bdr w:val="nil"/>
          <w:lang w:val="en-US"/>
        </w:rPr>
      </w:pPr>
      <w:r w:rsidRPr="0082571A">
        <w:rPr>
          <w:rFonts w:ascii="Times New Roman" w:eastAsia="Calibri" w:hAnsi="Times New Roman" w:cs="Times New Roman"/>
          <w:b/>
          <w:bCs/>
          <w:color w:val="000000"/>
          <w:u w:color="000000"/>
          <w:bdr w:val="nil"/>
          <w:lang w:val="en-US"/>
        </w:rPr>
        <w:t xml:space="preserve">Keywords: </w:t>
      </w:r>
      <w:r w:rsidRPr="0082571A">
        <w:rPr>
          <w:rFonts w:ascii="Times New Roman" w:eastAsia="Calibri" w:hAnsi="Times New Roman" w:cs="Times New Roman"/>
          <w:color w:val="000000"/>
          <w:u w:color="000000"/>
          <w:bdr w:val="nil"/>
          <w:lang w:val="en-US"/>
        </w:rPr>
        <w:t xml:space="preserve">Callus culture, MS, Kinetin, Callus weight, </w:t>
      </w:r>
      <w:proofErr w:type="spellStart"/>
      <w:r w:rsidRPr="0082571A">
        <w:rPr>
          <w:rFonts w:ascii="Times New Roman" w:eastAsia="Calibri" w:hAnsi="Times New Roman" w:cs="Times New Roman"/>
          <w:color w:val="000000"/>
          <w:u w:color="000000"/>
          <w:bdr w:val="nil"/>
          <w:lang w:val="en-US"/>
        </w:rPr>
        <w:t>micropropagation</w:t>
      </w:r>
      <w:proofErr w:type="spellEnd"/>
    </w:p>
    <w:p w:rsidR="0082571A" w:rsidRPr="0082571A" w:rsidRDefault="0082571A" w:rsidP="0082571A">
      <w:pPr>
        <w:pBdr>
          <w:top w:val="nil"/>
          <w:left w:val="nil"/>
          <w:bottom w:val="nil"/>
          <w:right w:val="nil"/>
          <w:between w:val="nil"/>
          <w:bar w:val="nil"/>
        </w:pBdr>
        <w:spacing w:after="0"/>
        <w:jc w:val="both"/>
        <w:rPr>
          <w:rFonts w:ascii="Times New Roman" w:eastAsia="Times New Roman" w:hAnsi="Times New Roman" w:cs="Times New Roman"/>
          <w:color w:val="000000"/>
          <w:u w:color="000000"/>
          <w:bdr w:val="nil"/>
          <w:lang w:val="en-US"/>
        </w:rPr>
      </w:pPr>
    </w:p>
    <w:p w:rsidR="0082571A" w:rsidRPr="0082571A" w:rsidRDefault="0082571A" w:rsidP="0082571A">
      <w:pPr>
        <w:pBdr>
          <w:top w:val="nil"/>
          <w:left w:val="nil"/>
          <w:bottom w:val="nil"/>
          <w:right w:val="nil"/>
          <w:between w:val="nil"/>
          <w:bar w:val="nil"/>
        </w:pBdr>
        <w:spacing w:after="0" w:line="360" w:lineRule="auto"/>
        <w:jc w:val="both"/>
        <w:rPr>
          <w:rFonts w:ascii="Times New Roman" w:eastAsia="Times New Roman" w:hAnsi="Times New Roman" w:cs="Times New Roman"/>
          <w:b/>
          <w:bCs/>
          <w:color w:val="000000"/>
          <w:u w:color="000000"/>
          <w:bdr w:val="nil"/>
          <w:lang w:val="en-US"/>
        </w:rPr>
      </w:pPr>
      <w:proofErr w:type="spellStart"/>
      <w:r w:rsidRPr="0082571A">
        <w:rPr>
          <w:rFonts w:ascii="Times New Roman" w:eastAsia="Calibri" w:hAnsi="Times New Roman" w:cs="Times New Roman"/>
          <w:b/>
          <w:bCs/>
          <w:color w:val="000000"/>
          <w:u w:color="000000"/>
          <w:bdr w:val="nil"/>
          <w:lang w:val="en-US"/>
        </w:rPr>
        <w:t>İntr</w:t>
      </w:r>
      <w:r w:rsidRPr="0082571A">
        <w:rPr>
          <w:rFonts w:ascii="Times New Roman" w:eastAsia="Calibri" w:hAnsi="Times New Roman" w:cs="Times New Roman"/>
          <w:b/>
          <w:bCs/>
          <w:color w:val="000000"/>
          <w:u w:color="000000"/>
          <w:bdr w:val="nil"/>
          <w:lang w:val="fr-FR"/>
        </w:rPr>
        <w:t>oduction</w:t>
      </w:r>
      <w:proofErr w:type="spellEnd"/>
    </w:p>
    <w:p w:rsidR="004E5A8B" w:rsidRDefault="0082571A" w:rsidP="0082571A">
      <w:pPr>
        <w:pBdr>
          <w:top w:val="nil"/>
          <w:left w:val="nil"/>
          <w:bottom w:val="nil"/>
          <w:right w:val="nil"/>
          <w:between w:val="nil"/>
          <w:bar w:val="nil"/>
        </w:pBdr>
        <w:spacing w:after="0" w:line="360" w:lineRule="auto"/>
        <w:jc w:val="both"/>
        <w:rPr>
          <w:rFonts w:ascii="Times New Roman" w:eastAsia="Calibri" w:hAnsi="Times New Roman" w:cs="Times New Roman"/>
          <w:color w:val="000000"/>
          <w:u w:color="000000"/>
          <w:bdr w:val="nil"/>
          <w:lang w:val="en-US"/>
        </w:rPr>
      </w:pPr>
      <w:r w:rsidRPr="0082571A">
        <w:rPr>
          <w:rFonts w:ascii="Times New Roman" w:eastAsia="Calibri" w:hAnsi="Times New Roman" w:cs="Times New Roman"/>
          <w:color w:val="000000"/>
          <w:u w:color="000000"/>
          <w:bdr w:val="nil"/>
          <w:lang w:val="it-IT"/>
        </w:rPr>
        <w:t>Croton</w:t>
      </w:r>
      <w:r w:rsidRPr="0082571A">
        <w:rPr>
          <w:rFonts w:ascii="Times New Roman" w:eastAsia="Calibri" w:hAnsi="Times New Roman" w:cs="Times New Roman"/>
          <w:color w:val="000000"/>
          <w:u w:color="000000"/>
          <w:bdr w:val="nil"/>
          <w:lang w:val="en-US"/>
        </w:rPr>
        <w:t>(</w:t>
      </w:r>
      <w:r w:rsidRPr="0082571A">
        <w:rPr>
          <w:rFonts w:ascii="Times New Roman" w:eastAsia="Calibri" w:hAnsi="Times New Roman" w:cs="Times New Roman"/>
          <w:i/>
          <w:iCs/>
          <w:color w:val="000000"/>
          <w:u w:color="000000"/>
          <w:bdr w:val="nil"/>
          <w:lang w:val="it-IT"/>
        </w:rPr>
        <w:t>Codiaeum variegatum</w:t>
      </w:r>
      <w:r w:rsidRPr="0082571A">
        <w:rPr>
          <w:rFonts w:ascii="Times New Roman" w:eastAsia="Calibri" w:hAnsi="Times New Roman" w:cs="Times New Roman"/>
          <w:color w:val="000000"/>
          <w:u w:color="000000"/>
          <w:bdr w:val="nil"/>
          <w:lang w:val="en-US"/>
        </w:rPr>
        <w:t xml:space="preserve">) is one of the beautiful indoor and outdoor plants belonging to the </w:t>
      </w:r>
      <w:proofErr w:type="spellStart"/>
      <w:r w:rsidRPr="0082571A">
        <w:rPr>
          <w:rFonts w:ascii="Times New Roman" w:eastAsia="Calibri" w:hAnsi="Times New Roman" w:cs="Times New Roman"/>
          <w:color w:val="000000"/>
          <w:u w:color="000000"/>
          <w:bdr w:val="nil"/>
          <w:lang w:val="en-US"/>
        </w:rPr>
        <w:t>Euphorbiaceae</w:t>
      </w:r>
      <w:proofErr w:type="spellEnd"/>
      <w:r w:rsidRPr="0082571A">
        <w:rPr>
          <w:rFonts w:ascii="Times New Roman" w:eastAsia="Calibri" w:hAnsi="Times New Roman" w:cs="Times New Roman"/>
          <w:color w:val="000000"/>
          <w:u w:color="000000"/>
          <w:bdr w:val="nil"/>
          <w:lang w:val="en-US"/>
        </w:rPr>
        <w:t xml:space="preserve"> family. It is native to several countries such as East India, Malaysia, </w:t>
      </w:r>
      <w:proofErr w:type="gramStart"/>
      <w:r w:rsidRPr="0082571A">
        <w:rPr>
          <w:rFonts w:ascii="Times New Roman" w:eastAsia="Calibri" w:hAnsi="Times New Roman" w:cs="Times New Roman"/>
          <w:color w:val="000000"/>
          <w:u w:color="000000"/>
          <w:bdr w:val="nil"/>
          <w:lang w:val="en-US"/>
        </w:rPr>
        <w:t>Pacific</w:t>
      </w:r>
      <w:proofErr w:type="gramEnd"/>
      <w:r w:rsidRPr="0082571A">
        <w:rPr>
          <w:rFonts w:ascii="Times New Roman" w:eastAsia="Calibri" w:hAnsi="Times New Roman" w:cs="Times New Roman"/>
          <w:color w:val="000000"/>
          <w:u w:color="000000"/>
          <w:bdr w:val="nil"/>
          <w:lang w:val="en-US"/>
        </w:rPr>
        <w:t xml:space="preserve"> Islands. It is a typical tropical plant and is mainly grown for its leaves. These are plants in the form of shrubs. It can be sized 60-120 cm. It can also form small trees in its homeland. It has very decorative leaves of many different colors and shapes. Young leaves are usually green, yellow, and red, later may be gold, cream, white, red, pink, purple, black, or brown. Besides the beauty of the leaves of the crotons, the leaf extracts are reported to have many medicinal properties including laxative, soothing antifungal, and anti-cancer activities. The plant is also a good natural source for the production of important secondary metabolites such as alkaloids, </w:t>
      </w:r>
      <w:proofErr w:type="spellStart"/>
      <w:r w:rsidRPr="0082571A">
        <w:rPr>
          <w:rFonts w:ascii="Times New Roman" w:eastAsia="Calibri" w:hAnsi="Times New Roman" w:cs="Times New Roman"/>
          <w:color w:val="000000"/>
          <w:u w:color="000000"/>
          <w:bdr w:val="nil"/>
          <w:lang w:val="en-US"/>
        </w:rPr>
        <w:t>tropenes</w:t>
      </w:r>
      <w:proofErr w:type="spellEnd"/>
      <w:r w:rsidRPr="0082571A">
        <w:rPr>
          <w:rFonts w:ascii="Times New Roman" w:eastAsia="Calibri" w:hAnsi="Times New Roman" w:cs="Times New Roman"/>
          <w:color w:val="000000"/>
          <w:u w:color="000000"/>
          <w:bdr w:val="nil"/>
          <w:lang w:val="en-US"/>
        </w:rPr>
        <w:t xml:space="preserve">, and </w:t>
      </w:r>
      <w:proofErr w:type="gramStart"/>
      <w:r w:rsidRPr="0082571A">
        <w:rPr>
          <w:rFonts w:ascii="Times New Roman" w:eastAsia="Calibri" w:hAnsi="Times New Roman" w:cs="Times New Roman"/>
          <w:color w:val="000000"/>
          <w:u w:color="000000"/>
          <w:bdr w:val="nil"/>
          <w:lang w:val="en-US"/>
        </w:rPr>
        <w:t xml:space="preserve">flavonoids  </w:t>
      </w:r>
      <w:r w:rsidRPr="009E3E1E">
        <w:rPr>
          <w:rFonts w:ascii="Times New Roman" w:eastAsia="Calibri" w:hAnsi="Times New Roman" w:cs="Times New Roman"/>
          <w:color w:val="000000"/>
          <w:u w:color="000000"/>
          <w:bdr w:val="nil"/>
          <w:lang w:val="en-US"/>
        </w:rPr>
        <w:t>(</w:t>
      </w:r>
      <w:proofErr w:type="spellStart"/>
      <w:proofErr w:type="gramEnd"/>
      <w:r w:rsidRPr="009E3E1E">
        <w:rPr>
          <w:rFonts w:ascii="Times New Roman" w:eastAsia="Calibri" w:hAnsi="Times New Roman" w:cs="Times New Roman"/>
          <w:bCs/>
          <w:color w:val="000000"/>
          <w:u w:color="000000"/>
          <w:bdr w:val="nil"/>
          <w:lang w:val="en-US"/>
        </w:rPr>
        <w:t>Maciel</w:t>
      </w:r>
      <w:proofErr w:type="spellEnd"/>
      <w:r w:rsidRPr="009E3E1E">
        <w:rPr>
          <w:rFonts w:ascii="Times New Roman" w:eastAsia="Calibri" w:hAnsi="Times New Roman" w:cs="Times New Roman"/>
          <w:bCs/>
          <w:color w:val="000000"/>
          <w:u w:color="000000"/>
          <w:bdr w:val="nil"/>
          <w:lang w:val="en-US"/>
        </w:rPr>
        <w:t xml:space="preserve"> </w:t>
      </w:r>
      <w:r w:rsidRPr="009E3E1E">
        <w:rPr>
          <w:rFonts w:ascii="Times New Roman" w:eastAsia="Calibri" w:hAnsi="Times New Roman" w:cs="Times New Roman"/>
          <w:bCs/>
          <w:iCs/>
          <w:color w:val="000000"/>
          <w:u w:color="000000"/>
          <w:bdr w:val="nil"/>
          <w:lang w:val="en-US"/>
        </w:rPr>
        <w:t xml:space="preserve">et al., </w:t>
      </w:r>
      <w:r w:rsidRPr="009E3E1E">
        <w:rPr>
          <w:rFonts w:ascii="Times New Roman" w:eastAsia="Calibri" w:hAnsi="Times New Roman" w:cs="Times New Roman"/>
          <w:bCs/>
          <w:color w:val="000000"/>
          <w:u w:color="000000"/>
          <w:bdr w:val="nil"/>
          <w:lang w:val="es-ES_tradnl"/>
        </w:rPr>
        <w:t xml:space="preserve">1998; Puebla </w:t>
      </w:r>
      <w:r w:rsidRPr="009E3E1E">
        <w:rPr>
          <w:rFonts w:ascii="Times New Roman" w:eastAsia="Calibri" w:hAnsi="Times New Roman" w:cs="Times New Roman"/>
          <w:bCs/>
          <w:iCs/>
          <w:color w:val="000000"/>
          <w:u w:color="000000"/>
          <w:bdr w:val="nil"/>
          <w:lang w:val="en-US"/>
        </w:rPr>
        <w:t xml:space="preserve">et al., </w:t>
      </w:r>
      <w:r w:rsidRPr="009E3E1E">
        <w:rPr>
          <w:rFonts w:ascii="Times New Roman" w:eastAsia="Calibri" w:hAnsi="Times New Roman" w:cs="Times New Roman"/>
          <w:bCs/>
          <w:color w:val="000000"/>
          <w:u w:color="000000"/>
          <w:bdr w:val="nil"/>
          <w:lang w:val="it-IT"/>
        </w:rPr>
        <w:t xml:space="preserve">2003; Simona </w:t>
      </w:r>
      <w:r w:rsidRPr="009E3E1E">
        <w:rPr>
          <w:rFonts w:ascii="Times New Roman" w:eastAsia="Calibri" w:hAnsi="Times New Roman" w:cs="Times New Roman"/>
          <w:bCs/>
          <w:iCs/>
          <w:color w:val="000000"/>
          <w:u w:color="000000"/>
          <w:bdr w:val="nil"/>
          <w:lang w:val="en-US"/>
        </w:rPr>
        <w:t xml:space="preserve">et al., </w:t>
      </w:r>
      <w:r w:rsidRPr="009E3E1E">
        <w:rPr>
          <w:rFonts w:ascii="Times New Roman" w:eastAsia="Calibri" w:hAnsi="Times New Roman" w:cs="Times New Roman"/>
          <w:bCs/>
          <w:color w:val="000000"/>
          <w:u w:color="000000"/>
          <w:bdr w:val="nil"/>
          <w:lang w:val="en-US"/>
        </w:rPr>
        <w:t>2008)</w:t>
      </w:r>
      <w:r w:rsidRPr="0082571A">
        <w:rPr>
          <w:rFonts w:ascii="Times New Roman" w:eastAsia="Calibri" w:hAnsi="Times New Roman" w:cs="Times New Roman"/>
          <w:color w:val="000000"/>
          <w:u w:color="000000"/>
          <w:bdr w:val="nil"/>
          <w:lang w:val="en-US"/>
        </w:rPr>
        <w:t xml:space="preserve">. Various methods are used for the vegetative propagation of crotons, such as cuttings, grafting, seeds, and air </w:t>
      </w:r>
      <w:proofErr w:type="gramStart"/>
      <w:r w:rsidRPr="0082571A">
        <w:rPr>
          <w:rFonts w:ascii="Times New Roman" w:eastAsia="Calibri" w:hAnsi="Times New Roman" w:cs="Times New Roman"/>
          <w:color w:val="000000"/>
          <w:u w:color="000000"/>
          <w:bdr w:val="nil"/>
          <w:lang w:val="en-US"/>
        </w:rPr>
        <w:t>layering(</w:t>
      </w:r>
      <w:proofErr w:type="spellStart"/>
      <w:proofErr w:type="gramEnd"/>
      <w:r w:rsidRPr="0082571A">
        <w:rPr>
          <w:rFonts w:ascii="Times New Roman" w:eastAsia="Calibri" w:hAnsi="Times New Roman" w:cs="Times New Roman"/>
          <w:color w:val="222222"/>
          <w:u w:color="222222"/>
          <w:bdr w:val="nil"/>
          <w:shd w:val="clear" w:color="auto" w:fill="FFFFFF"/>
          <w:lang w:val="en-US"/>
        </w:rPr>
        <w:t>Bakheet</w:t>
      </w:r>
      <w:proofErr w:type="spellEnd"/>
      <w:r w:rsidRPr="0082571A">
        <w:rPr>
          <w:rFonts w:ascii="Times New Roman" w:eastAsia="Calibri" w:hAnsi="Times New Roman" w:cs="Times New Roman"/>
          <w:color w:val="222222"/>
          <w:u w:color="222222"/>
          <w:bdr w:val="nil"/>
          <w:shd w:val="clear" w:color="auto" w:fill="FFFFFF"/>
          <w:lang w:val="en-US"/>
        </w:rPr>
        <w:t xml:space="preserve"> et al,2018</w:t>
      </w:r>
      <w:r w:rsidRPr="0082571A">
        <w:rPr>
          <w:rFonts w:ascii="Times New Roman" w:eastAsia="Calibri" w:hAnsi="Times New Roman" w:cs="Times New Roman"/>
          <w:color w:val="000000"/>
          <w:u w:color="000000"/>
          <w:bdr w:val="nil"/>
          <w:lang w:val="en-US"/>
        </w:rPr>
        <w:t>). However, with these methods the process is long and many parent plant stocks need to be maintained. The use of plant tissue culture methods in propagation enables high demand to be met in a relatively short time (Nasib</w:t>
      </w:r>
      <w:proofErr w:type="gramStart"/>
      <w:r w:rsidRPr="0082571A">
        <w:rPr>
          <w:rFonts w:ascii="Times New Roman" w:eastAsia="Calibri" w:hAnsi="Times New Roman" w:cs="Times New Roman"/>
          <w:color w:val="000000"/>
          <w:u w:color="000000"/>
          <w:bdr w:val="nil"/>
          <w:lang w:val="en-US"/>
        </w:rPr>
        <w:t>,20008</w:t>
      </w:r>
      <w:proofErr w:type="gramEnd"/>
      <w:r w:rsidRPr="0082571A">
        <w:rPr>
          <w:rFonts w:ascii="Times New Roman" w:eastAsia="Calibri" w:hAnsi="Times New Roman" w:cs="Times New Roman"/>
          <w:color w:val="000000"/>
          <w:u w:color="000000"/>
          <w:bdr w:val="nil"/>
          <w:lang w:val="en-US"/>
        </w:rPr>
        <w:t xml:space="preserve">). There are many techniques used in ornamental plant </w:t>
      </w:r>
      <w:proofErr w:type="spellStart"/>
      <w:r w:rsidRPr="0082571A">
        <w:rPr>
          <w:rFonts w:ascii="Times New Roman" w:eastAsia="Calibri" w:hAnsi="Times New Roman" w:cs="Times New Roman"/>
          <w:color w:val="000000"/>
          <w:u w:color="000000"/>
          <w:bdr w:val="nil"/>
          <w:lang w:val="en-US"/>
        </w:rPr>
        <w:t>micropropagation</w:t>
      </w:r>
      <w:proofErr w:type="spellEnd"/>
      <w:r w:rsidRPr="0082571A">
        <w:rPr>
          <w:rFonts w:ascii="Times New Roman" w:eastAsia="Calibri" w:hAnsi="Times New Roman" w:cs="Times New Roman"/>
          <w:color w:val="000000"/>
          <w:u w:color="000000"/>
          <w:bdr w:val="nil"/>
          <w:lang w:val="en-US"/>
        </w:rPr>
        <w:t>. It is accomplished by various means, i.e. by the propagation of shoots from different explants such as leaves, shoot tips, or axillary buds, or by direct formation of incidental shoots or somatic embryos from tissues, organs, or zygotic embryos</w:t>
      </w:r>
      <w:r w:rsidRPr="0082571A">
        <w:rPr>
          <w:rFonts w:ascii="Times New Roman" w:eastAsia="Calibri" w:hAnsi="Times New Roman" w:cs="Times New Roman"/>
          <w:color w:val="000000"/>
          <w:u w:color="000000"/>
          <w:bdr w:val="nil"/>
          <w:lang w:val="fr-FR"/>
        </w:rPr>
        <w:t xml:space="preserve"> (</w:t>
      </w:r>
      <w:proofErr w:type="spellStart"/>
      <w:r w:rsidRPr="0082571A">
        <w:rPr>
          <w:rFonts w:ascii="Times New Roman" w:eastAsia="Calibri" w:hAnsi="Times New Roman" w:cs="Times New Roman"/>
          <w:color w:val="000000"/>
          <w:u w:color="000000"/>
          <w:bdr w:val="nil"/>
          <w:lang w:val="fr-FR"/>
        </w:rPr>
        <w:t>Rout</w:t>
      </w:r>
      <w:proofErr w:type="spellEnd"/>
      <w:r w:rsidRPr="0082571A">
        <w:rPr>
          <w:rFonts w:ascii="Times New Roman" w:eastAsia="Calibri" w:hAnsi="Times New Roman" w:cs="Times New Roman"/>
          <w:color w:val="000000"/>
          <w:u w:color="000000"/>
          <w:bdr w:val="nil"/>
          <w:lang w:val="fr-FR"/>
        </w:rPr>
        <w:t xml:space="preserve"> et al.</w:t>
      </w:r>
      <w:proofErr w:type="gramStart"/>
      <w:r w:rsidRPr="0082571A">
        <w:rPr>
          <w:rFonts w:ascii="Times New Roman" w:eastAsia="Calibri" w:hAnsi="Times New Roman" w:cs="Times New Roman"/>
          <w:color w:val="000000"/>
          <w:u w:color="000000"/>
          <w:bdr w:val="nil"/>
          <w:lang w:val="fr-FR"/>
        </w:rPr>
        <w:t>,2006</w:t>
      </w:r>
      <w:proofErr w:type="gramEnd"/>
      <w:r w:rsidRPr="0082571A">
        <w:rPr>
          <w:rFonts w:ascii="Times New Roman" w:eastAsia="Calibri" w:hAnsi="Times New Roman" w:cs="Times New Roman"/>
          <w:color w:val="000000"/>
          <w:u w:color="000000"/>
          <w:bdr w:val="nil"/>
          <w:lang w:val="fr-FR"/>
        </w:rPr>
        <w:t>).</w:t>
      </w:r>
      <w:r w:rsidRPr="0082571A">
        <w:rPr>
          <w:rFonts w:ascii="Times New Roman" w:eastAsia="Calibri" w:hAnsi="Times New Roman" w:cs="Times New Roman"/>
          <w:color w:val="000000"/>
          <w:u w:color="000000"/>
          <w:bdr w:val="nil"/>
          <w:lang w:val="en-US"/>
        </w:rPr>
        <w:t xml:space="preserve"> Callus culture is one of these </w:t>
      </w:r>
      <w:proofErr w:type="spellStart"/>
      <w:r w:rsidRPr="0082571A">
        <w:rPr>
          <w:rFonts w:ascii="Times New Roman" w:eastAsia="Calibri" w:hAnsi="Times New Roman" w:cs="Times New Roman"/>
          <w:color w:val="000000"/>
          <w:u w:color="000000"/>
          <w:bdr w:val="nil"/>
          <w:lang w:val="en-US"/>
        </w:rPr>
        <w:t>micropropagation</w:t>
      </w:r>
      <w:proofErr w:type="spellEnd"/>
      <w:r w:rsidRPr="0082571A">
        <w:rPr>
          <w:rFonts w:ascii="Times New Roman" w:eastAsia="Calibri" w:hAnsi="Times New Roman" w:cs="Times New Roman"/>
          <w:color w:val="000000"/>
          <w:u w:color="000000"/>
          <w:bdr w:val="nil"/>
          <w:lang w:val="en-US"/>
        </w:rPr>
        <w:t xml:space="preserve"> methods. </w:t>
      </w:r>
      <w:r w:rsidRPr="0082571A">
        <w:rPr>
          <w:rFonts w:ascii="Times New Roman" w:eastAsia="Calibri" w:hAnsi="Times New Roman" w:cs="Times New Roman"/>
          <w:color w:val="000000"/>
          <w:u w:color="000000"/>
          <w:bdr w:val="nil"/>
          <w:lang w:val="it-IT"/>
        </w:rPr>
        <w:t>Callus culture is a plant tissue culture technique used in the production of medical secondary products as well as micropropagation.</w:t>
      </w:r>
      <w:r w:rsidRPr="0082571A">
        <w:rPr>
          <w:rFonts w:ascii="Times New Roman" w:eastAsia="Calibri" w:hAnsi="Times New Roman" w:cs="Times New Roman"/>
          <w:color w:val="000000"/>
          <w:u w:color="000000"/>
          <w:bdr w:val="nil"/>
          <w:lang w:val="en-US"/>
        </w:rPr>
        <w:t xml:space="preserve"> A callus is an unorganized mass of cells. Callus cultures can differentiate into whole plants, if maintained under suitable growth media that differ from standard culture media </w:t>
      </w:r>
      <w:r w:rsidRPr="0082571A">
        <w:rPr>
          <w:rFonts w:ascii="Times New Roman" w:eastAsia="Calibri" w:hAnsi="Times New Roman" w:cs="Times New Roman"/>
          <w:color w:val="000000"/>
          <w:u w:color="000000"/>
          <w:bdr w:val="nil"/>
          <w:lang w:val="en-US"/>
        </w:rPr>
        <w:lastRenderedPageBreak/>
        <w:t xml:space="preserve">generally containing high auxin concentrations or a combination of auxin and </w:t>
      </w:r>
      <w:proofErr w:type="spellStart"/>
      <w:r w:rsidRPr="0082571A">
        <w:rPr>
          <w:rFonts w:ascii="Times New Roman" w:eastAsia="Calibri" w:hAnsi="Times New Roman" w:cs="Times New Roman"/>
          <w:color w:val="000000"/>
          <w:u w:color="000000"/>
          <w:bdr w:val="nil"/>
          <w:lang w:val="en-US"/>
        </w:rPr>
        <w:t>cytokinin</w:t>
      </w:r>
      <w:proofErr w:type="spellEnd"/>
      <w:r w:rsidRPr="0082571A">
        <w:rPr>
          <w:rFonts w:ascii="Times New Roman" w:eastAsia="Calibri" w:hAnsi="Times New Roman" w:cs="Times New Roman"/>
          <w:color w:val="000000"/>
          <w:u w:color="000000"/>
          <w:bdr w:val="nil"/>
          <w:lang w:val="en-US"/>
        </w:rPr>
        <w:t xml:space="preserve"> (</w:t>
      </w:r>
      <w:r w:rsidRPr="0082571A">
        <w:rPr>
          <w:rFonts w:ascii="Times New Roman" w:eastAsia="Calibri" w:hAnsi="Times New Roman" w:cs="Times New Roman"/>
          <w:color w:val="000000"/>
          <w:u w:color="000000"/>
          <w:bdr w:val="nil"/>
          <w:lang w:val="it-IT"/>
        </w:rPr>
        <w:t>Efferth,</w:t>
      </w:r>
      <w:r w:rsidR="00D630E9">
        <w:rPr>
          <w:rFonts w:ascii="Times New Roman" w:eastAsia="Calibri" w:hAnsi="Times New Roman" w:cs="Times New Roman"/>
          <w:color w:val="000000"/>
          <w:u w:color="000000"/>
          <w:bdr w:val="nil"/>
          <w:lang w:val="it-IT"/>
        </w:rPr>
        <w:t xml:space="preserve"> </w:t>
      </w:r>
      <w:r w:rsidRPr="0082571A">
        <w:rPr>
          <w:rFonts w:ascii="Times New Roman" w:eastAsia="Calibri" w:hAnsi="Times New Roman" w:cs="Times New Roman"/>
          <w:color w:val="000000"/>
          <w:u w:color="000000"/>
          <w:bdr w:val="nil"/>
          <w:lang w:val="it-IT"/>
        </w:rPr>
        <w:t>2019,).</w:t>
      </w:r>
      <w:r w:rsidRPr="0082571A">
        <w:rPr>
          <w:rFonts w:ascii="Times New Roman" w:eastAsia="Calibri" w:hAnsi="Times New Roman" w:cs="Times New Roman"/>
          <w:color w:val="000000"/>
          <w:u w:color="000000"/>
          <w:bdr w:val="nil"/>
          <w:lang w:val="en-US"/>
        </w:rPr>
        <w:t xml:space="preserve"> Also, some callus cultures demand dark growing conditions </w:t>
      </w:r>
      <w:proofErr w:type="gramStart"/>
      <w:r w:rsidRPr="0082571A">
        <w:rPr>
          <w:rFonts w:ascii="Times New Roman" w:eastAsia="Calibri" w:hAnsi="Times New Roman" w:cs="Times New Roman"/>
          <w:color w:val="000000"/>
          <w:u w:color="000000"/>
          <w:bdr w:val="nil"/>
          <w:lang w:val="en-US"/>
        </w:rPr>
        <w:t>while  others</w:t>
      </w:r>
      <w:proofErr w:type="gramEnd"/>
      <w:r w:rsidRPr="0082571A">
        <w:rPr>
          <w:rFonts w:ascii="Times New Roman" w:eastAsia="Calibri" w:hAnsi="Times New Roman" w:cs="Times New Roman"/>
          <w:color w:val="000000"/>
          <w:u w:color="000000"/>
          <w:bdr w:val="nil"/>
          <w:lang w:val="en-US"/>
        </w:rPr>
        <w:t xml:space="preserve"> grow under certain day-night conditions (e.g., 16 h light, 8 h dark). Callus cultures generally grow at 25 ± 2</w:t>
      </w:r>
      <w:r w:rsidRPr="0082571A">
        <w:rPr>
          <w:rFonts w:ascii="Times New Roman" w:eastAsia="Calibri" w:hAnsi="Times New Roman" w:cs="Times New Roman"/>
          <w:color w:val="000000"/>
          <w:u w:color="000000"/>
          <w:bdr w:val="nil"/>
          <w:lang w:val="it-IT"/>
        </w:rPr>
        <w:t xml:space="preserve"> °</w:t>
      </w:r>
      <w:r w:rsidRPr="0082571A">
        <w:rPr>
          <w:rFonts w:ascii="Times New Roman" w:eastAsia="Calibri" w:hAnsi="Times New Roman" w:cs="Times New Roman"/>
          <w:color w:val="000000"/>
          <w:u w:color="000000"/>
          <w:bdr w:val="nil"/>
          <w:lang w:val="en-US"/>
        </w:rPr>
        <w:t>C.</w:t>
      </w:r>
    </w:p>
    <w:p w:rsidR="004E5A8B" w:rsidRPr="004E5A8B" w:rsidRDefault="004E5A8B" w:rsidP="0082571A">
      <w:pPr>
        <w:pBdr>
          <w:top w:val="nil"/>
          <w:left w:val="nil"/>
          <w:bottom w:val="nil"/>
          <w:right w:val="nil"/>
          <w:between w:val="nil"/>
          <w:bar w:val="nil"/>
        </w:pBdr>
        <w:spacing w:after="0" w:line="360" w:lineRule="auto"/>
        <w:jc w:val="both"/>
        <w:rPr>
          <w:rFonts w:ascii="Times New Roman" w:eastAsia="Calibri" w:hAnsi="Times New Roman" w:cs="Times New Roman"/>
          <w:color w:val="000000"/>
          <w:u w:color="000000"/>
          <w:bdr w:val="nil"/>
          <w:lang w:val="en-US"/>
        </w:rPr>
      </w:pPr>
      <w:r w:rsidRPr="002A68EC">
        <w:rPr>
          <w:rFonts w:ascii="Times New Roman" w:eastAsia="Calibri" w:hAnsi="Times New Roman" w:cs="Times New Roman"/>
          <w:color w:val="000000"/>
          <w:u w:color="000000"/>
          <w:bdr w:val="nil"/>
          <w:lang w:val="en-US"/>
        </w:rPr>
        <w:t xml:space="preserve">There are many factors affecting the success in plant tissue culture such as genotype, nutrient medium, </w:t>
      </w:r>
      <w:proofErr w:type="gramStart"/>
      <w:r w:rsidRPr="002A68EC">
        <w:rPr>
          <w:rFonts w:ascii="Times New Roman" w:eastAsia="Calibri" w:hAnsi="Times New Roman" w:cs="Times New Roman"/>
          <w:color w:val="000000"/>
          <w:u w:color="000000"/>
          <w:bdr w:val="nil"/>
          <w:lang w:val="en-US"/>
        </w:rPr>
        <w:t>grow</w:t>
      </w:r>
      <w:r w:rsidR="00DA1732" w:rsidRPr="002A68EC">
        <w:rPr>
          <w:rFonts w:ascii="Times New Roman" w:eastAsia="Calibri" w:hAnsi="Times New Roman" w:cs="Times New Roman"/>
          <w:color w:val="000000"/>
          <w:u w:color="000000"/>
          <w:bdr w:val="nil"/>
          <w:lang w:val="en-US"/>
        </w:rPr>
        <w:t>th</w:t>
      </w:r>
      <w:proofErr w:type="gramEnd"/>
      <w:r w:rsidRPr="002A68EC">
        <w:rPr>
          <w:rFonts w:ascii="Times New Roman" w:eastAsia="Calibri" w:hAnsi="Times New Roman" w:cs="Times New Roman"/>
          <w:color w:val="000000"/>
          <w:u w:color="000000"/>
          <w:bdr w:val="nil"/>
          <w:lang w:val="en-US"/>
        </w:rPr>
        <w:t xml:space="preserve"> conditions. Also, it has been revealed in many studies that the pre-treatments such as warm, cold, and keeping in the dark affect the success in a positive way</w:t>
      </w:r>
      <w:r w:rsidR="006F3301" w:rsidRPr="002A68EC">
        <w:rPr>
          <w:rFonts w:ascii="Times New Roman" w:eastAsia="Calibri" w:hAnsi="Times New Roman" w:cs="Times New Roman"/>
          <w:color w:val="000000"/>
          <w:u w:color="000000"/>
          <w:bdr w:val="nil"/>
          <w:lang w:val="en-US"/>
        </w:rPr>
        <w:t xml:space="preserve"> (Shi et al.</w:t>
      </w:r>
      <w:proofErr w:type="gramStart"/>
      <w:r w:rsidR="006F3301" w:rsidRPr="002A68EC">
        <w:rPr>
          <w:rFonts w:ascii="Times New Roman" w:eastAsia="Calibri" w:hAnsi="Times New Roman" w:cs="Times New Roman"/>
          <w:color w:val="000000"/>
          <w:u w:color="000000"/>
          <w:bdr w:val="nil"/>
          <w:lang w:val="en-US"/>
        </w:rPr>
        <w:t>,2020</w:t>
      </w:r>
      <w:proofErr w:type="gramEnd"/>
      <w:r w:rsidR="006F3301" w:rsidRPr="002A68EC">
        <w:rPr>
          <w:rFonts w:ascii="Times New Roman" w:eastAsia="Calibri" w:hAnsi="Times New Roman" w:cs="Times New Roman"/>
          <w:color w:val="000000"/>
          <w:u w:color="000000"/>
          <w:bdr w:val="nil"/>
          <w:lang w:val="en-US"/>
        </w:rPr>
        <w:t>)</w:t>
      </w:r>
      <w:r w:rsidRPr="002A68EC">
        <w:rPr>
          <w:rFonts w:ascii="Times New Roman" w:eastAsia="Calibri" w:hAnsi="Times New Roman" w:cs="Times New Roman"/>
          <w:color w:val="000000"/>
          <w:u w:color="000000"/>
          <w:bdr w:val="nil"/>
          <w:lang w:val="en-US"/>
        </w:rPr>
        <w:t>.</w:t>
      </w:r>
    </w:p>
    <w:p w:rsidR="0082571A" w:rsidRPr="0082571A" w:rsidRDefault="0082571A" w:rsidP="0082571A">
      <w:pPr>
        <w:pBdr>
          <w:top w:val="nil"/>
          <w:left w:val="nil"/>
          <w:bottom w:val="nil"/>
          <w:right w:val="nil"/>
          <w:between w:val="nil"/>
          <w:bar w:val="nil"/>
        </w:pBdr>
        <w:spacing w:after="0" w:line="360" w:lineRule="auto"/>
        <w:jc w:val="both"/>
        <w:rPr>
          <w:rFonts w:ascii="Times New Roman" w:eastAsia="Times New Roman" w:hAnsi="Times New Roman" w:cs="Times New Roman"/>
          <w:color w:val="000000"/>
          <w:u w:color="000000"/>
          <w:bdr w:val="nil"/>
          <w:lang w:val="en-US"/>
        </w:rPr>
      </w:pPr>
      <w:r w:rsidRPr="0082571A">
        <w:rPr>
          <w:rFonts w:ascii="Times New Roman" w:eastAsia="Calibri" w:hAnsi="Times New Roman" w:cs="Times New Roman"/>
          <w:color w:val="000000"/>
          <w:u w:color="000000"/>
          <w:bdr w:val="nil"/>
          <w:lang w:val="en-US"/>
        </w:rPr>
        <w:t xml:space="preserve">In this study, the effects of different plant growth regulator balance and </w:t>
      </w:r>
      <w:r w:rsidR="002A68EC">
        <w:rPr>
          <w:rFonts w:ascii="Times New Roman" w:eastAsia="Calibri" w:hAnsi="Times New Roman" w:cs="Times New Roman"/>
          <w:color w:val="000000"/>
          <w:u w:color="000000"/>
          <w:bdr w:val="nil"/>
          <w:lang w:val="en-US"/>
        </w:rPr>
        <w:t>dark stress</w:t>
      </w:r>
      <w:r w:rsidRPr="0082571A">
        <w:rPr>
          <w:rFonts w:ascii="Times New Roman" w:eastAsia="Calibri" w:hAnsi="Times New Roman" w:cs="Times New Roman"/>
          <w:color w:val="000000"/>
          <w:u w:color="000000"/>
          <w:bdr w:val="nil"/>
          <w:lang w:val="en-US"/>
        </w:rPr>
        <w:t xml:space="preserve"> on callus formation croton were investigated.</w:t>
      </w:r>
    </w:p>
    <w:p w:rsidR="0082571A" w:rsidRPr="0082571A" w:rsidRDefault="0082571A" w:rsidP="0082571A">
      <w:pPr>
        <w:pBdr>
          <w:top w:val="nil"/>
          <w:left w:val="nil"/>
          <w:bottom w:val="nil"/>
          <w:right w:val="nil"/>
          <w:between w:val="nil"/>
          <w:bar w:val="nil"/>
        </w:pBdr>
        <w:spacing w:after="0" w:line="360" w:lineRule="auto"/>
        <w:jc w:val="both"/>
        <w:rPr>
          <w:rFonts w:ascii="Times New Roman" w:eastAsia="Times New Roman" w:hAnsi="Times New Roman" w:cs="Times New Roman"/>
          <w:color w:val="000000"/>
          <w:u w:color="000000"/>
          <w:bdr w:val="nil"/>
          <w:lang w:val="en-US"/>
        </w:rPr>
      </w:pPr>
    </w:p>
    <w:p w:rsidR="0082571A" w:rsidRPr="0082571A" w:rsidRDefault="0082571A" w:rsidP="0082571A">
      <w:pPr>
        <w:pBdr>
          <w:top w:val="nil"/>
          <w:left w:val="nil"/>
          <w:bottom w:val="nil"/>
          <w:right w:val="nil"/>
          <w:between w:val="nil"/>
          <w:bar w:val="nil"/>
        </w:pBdr>
        <w:spacing w:after="0" w:line="360" w:lineRule="auto"/>
        <w:jc w:val="both"/>
        <w:rPr>
          <w:rFonts w:ascii="Times New Roman" w:eastAsia="Times New Roman" w:hAnsi="Times New Roman" w:cs="Times New Roman"/>
          <w:b/>
          <w:bCs/>
          <w:color w:val="000000"/>
          <w:u w:color="000000"/>
          <w:bdr w:val="nil"/>
          <w:lang w:val="en-US"/>
        </w:rPr>
      </w:pPr>
      <w:r w:rsidRPr="0082571A">
        <w:rPr>
          <w:rFonts w:ascii="Times New Roman" w:eastAsia="Calibri" w:hAnsi="Times New Roman" w:cs="Times New Roman"/>
          <w:b/>
          <w:bCs/>
          <w:color w:val="000000"/>
          <w:u w:color="000000"/>
          <w:bdr w:val="nil"/>
          <w:lang w:val="en-US"/>
        </w:rPr>
        <w:t>Material and method</w:t>
      </w:r>
    </w:p>
    <w:p w:rsidR="0082571A" w:rsidRPr="0082571A" w:rsidRDefault="0082571A" w:rsidP="0082571A">
      <w:pPr>
        <w:pBdr>
          <w:top w:val="nil"/>
          <w:left w:val="nil"/>
          <w:bottom w:val="nil"/>
          <w:right w:val="nil"/>
          <w:between w:val="nil"/>
          <w:bar w:val="nil"/>
        </w:pBdr>
        <w:spacing w:after="0" w:line="360" w:lineRule="auto"/>
        <w:jc w:val="both"/>
        <w:rPr>
          <w:rFonts w:ascii="Times New Roman" w:eastAsia="Times New Roman" w:hAnsi="Times New Roman" w:cs="Times New Roman"/>
          <w:color w:val="000000"/>
          <w:u w:color="000000"/>
          <w:bdr w:val="nil"/>
          <w:lang w:val="en-US"/>
        </w:rPr>
      </w:pPr>
      <w:r w:rsidRPr="0082571A">
        <w:rPr>
          <w:rFonts w:ascii="Times New Roman" w:eastAsia="Calibri" w:hAnsi="Times New Roman" w:cs="Times New Roman"/>
          <w:color w:val="000000"/>
          <w:u w:color="000000"/>
          <w:bdr w:val="nil"/>
          <w:lang w:val="en-US"/>
        </w:rPr>
        <w:t xml:space="preserve">The study was carried out in the Tissue Culture Laboratory </w:t>
      </w:r>
      <w:proofErr w:type="gramStart"/>
      <w:r w:rsidRPr="0082571A">
        <w:rPr>
          <w:rFonts w:ascii="Times New Roman" w:eastAsia="Calibri" w:hAnsi="Times New Roman" w:cs="Times New Roman"/>
          <w:color w:val="000000"/>
          <w:u w:color="000000"/>
          <w:bdr w:val="nil"/>
          <w:lang w:val="en-US"/>
        </w:rPr>
        <w:t xml:space="preserve">of </w:t>
      </w:r>
      <w:r w:rsidR="001C6749">
        <w:rPr>
          <w:rFonts w:ascii="Times New Roman" w:eastAsia="Calibri" w:hAnsi="Times New Roman" w:cs="Times New Roman"/>
          <w:color w:val="000000"/>
          <w:u w:color="000000"/>
          <w:bdr w:val="nil"/>
          <w:lang w:val="en-US"/>
        </w:rPr>
        <w:t xml:space="preserve"> </w:t>
      </w:r>
      <w:proofErr w:type="spellStart"/>
      <w:r w:rsidRPr="0082571A">
        <w:rPr>
          <w:rFonts w:ascii="Times New Roman" w:eastAsia="Calibri" w:hAnsi="Times New Roman" w:cs="Times New Roman"/>
          <w:color w:val="000000"/>
          <w:u w:color="000000"/>
          <w:bdr w:val="nil"/>
          <w:lang w:val="en-US"/>
        </w:rPr>
        <w:t>Gaziosmanpaşa</w:t>
      </w:r>
      <w:proofErr w:type="spellEnd"/>
      <w:proofErr w:type="gramEnd"/>
      <w:r w:rsidRPr="0082571A">
        <w:rPr>
          <w:rFonts w:ascii="Times New Roman" w:eastAsia="Calibri" w:hAnsi="Times New Roman" w:cs="Times New Roman"/>
          <w:color w:val="000000"/>
          <w:u w:color="000000"/>
          <w:bdr w:val="nil"/>
          <w:lang w:val="en-US"/>
        </w:rPr>
        <w:t xml:space="preserve"> University, Faculty of Agriculture, Department of Horticulture. Young leaves of Croton (</w:t>
      </w:r>
      <w:r w:rsidRPr="0082571A">
        <w:rPr>
          <w:rFonts w:ascii="Times New Roman" w:eastAsia="Calibri" w:hAnsi="Times New Roman" w:cs="Times New Roman"/>
          <w:i/>
          <w:iCs/>
          <w:color w:val="000000"/>
          <w:u w:color="000000"/>
          <w:bdr w:val="nil"/>
          <w:lang w:val="it-IT"/>
        </w:rPr>
        <w:t>Codiaeum variegatum sp.)</w:t>
      </w:r>
      <w:r w:rsidRPr="0082571A">
        <w:rPr>
          <w:rFonts w:ascii="Times New Roman" w:eastAsia="Calibri" w:hAnsi="Times New Roman" w:cs="Times New Roman"/>
          <w:color w:val="000000"/>
          <w:u w:color="000000"/>
          <w:bdr w:val="nil"/>
          <w:lang w:val="en-US"/>
        </w:rPr>
        <w:t xml:space="preserve"> were used as explant.</w:t>
      </w:r>
    </w:p>
    <w:p w:rsidR="0082571A" w:rsidRPr="0082571A" w:rsidRDefault="0082571A" w:rsidP="0082571A">
      <w:pPr>
        <w:pBdr>
          <w:top w:val="nil"/>
          <w:left w:val="nil"/>
          <w:bottom w:val="nil"/>
          <w:right w:val="nil"/>
          <w:between w:val="nil"/>
          <w:bar w:val="nil"/>
        </w:pBdr>
        <w:spacing w:after="0" w:line="360" w:lineRule="auto"/>
        <w:jc w:val="both"/>
        <w:rPr>
          <w:rFonts w:ascii="Times New Roman" w:eastAsia="Times New Roman" w:hAnsi="Times New Roman" w:cs="Times New Roman"/>
          <w:b/>
          <w:bCs/>
          <w:color w:val="000000"/>
          <w:u w:color="000000"/>
          <w:bdr w:val="nil"/>
          <w:lang w:val="en-US"/>
        </w:rPr>
      </w:pPr>
      <w:r w:rsidRPr="0082571A">
        <w:rPr>
          <w:rFonts w:ascii="Times New Roman" w:eastAsia="Calibri" w:hAnsi="Times New Roman" w:cs="Times New Roman"/>
          <w:b/>
          <w:bCs/>
          <w:color w:val="000000"/>
          <w:u w:color="000000"/>
          <w:bdr w:val="nil"/>
          <w:lang w:val="en-US"/>
        </w:rPr>
        <w:t>Explant Sterilization</w:t>
      </w:r>
    </w:p>
    <w:p w:rsidR="0082571A" w:rsidRPr="004342C8" w:rsidRDefault="0082571A" w:rsidP="0082571A">
      <w:pPr>
        <w:pBdr>
          <w:top w:val="nil"/>
          <w:left w:val="nil"/>
          <w:bottom w:val="nil"/>
          <w:right w:val="nil"/>
          <w:between w:val="nil"/>
          <w:bar w:val="nil"/>
        </w:pBdr>
        <w:spacing w:after="0" w:line="360" w:lineRule="auto"/>
        <w:jc w:val="both"/>
        <w:rPr>
          <w:rFonts w:ascii="Times New Roman" w:eastAsia="Times New Roman" w:hAnsi="Times New Roman" w:cs="Times New Roman"/>
          <w:color w:val="000000"/>
          <w:u w:color="000000"/>
          <w:bdr w:val="nil"/>
          <w:lang w:val="en-US"/>
        </w:rPr>
      </w:pPr>
      <w:r w:rsidRPr="004342C8">
        <w:rPr>
          <w:rFonts w:ascii="Times New Roman" w:eastAsia="Calibri" w:hAnsi="Times New Roman" w:cs="Times New Roman"/>
          <w:bCs/>
          <w:color w:val="000000"/>
          <w:u w:color="000000"/>
          <w:bdr w:val="nil"/>
          <w:lang w:val="en-US"/>
        </w:rPr>
        <w:t>At first, e</w:t>
      </w:r>
      <w:r w:rsidRPr="004342C8">
        <w:rPr>
          <w:rFonts w:ascii="Times New Roman" w:eastAsia="Calibri" w:hAnsi="Times New Roman" w:cs="Times New Roman"/>
          <w:color w:val="000000"/>
          <w:u w:color="000000"/>
          <w:bdr w:val="nil"/>
          <w:lang w:val="en-US"/>
        </w:rPr>
        <w:t>xplants were collected (leaf-stem) and washed completely under running water for 30 minutes, followed by 70% ethanol for 1 minute. Afterward, they were disinfected for 15 minutes with 20% commercial sodium hypochlorite and added a few drops of Tween-20. At the end, explants were washed 3 to 5 times with sterilized distilled water.</w:t>
      </w:r>
    </w:p>
    <w:p w:rsidR="0082571A" w:rsidRPr="0082571A" w:rsidRDefault="0082571A" w:rsidP="0082571A">
      <w:pPr>
        <w:pBdr>
          <w:top w:val="nil"/>
          <w:left w:val="nil"/>
          <w:bottom w:val="nil"/>
          <w:right w:val="nil"/>
          <w:between w:val="nil"/>
          <w:bar w:val="nil"/>
        </w:pBdr>
        <w:spacing w:after="0" w:line="360" w:lineRule="auto"/>
        <w:jc w:val="both"/>
        <w:rPr>
          <w:rFonts w:ascii="Times New Roman" w:eastAsia="Times New Roman" w:hAnsi="Times New Roman" w:cs="Times New Roman"/>
          <w:b/>
          <w:bCs/>
          <w:color w:val="000000"/>
          <w:u w:color="000000"/>
          <w:bdr w:val="nil"/>
          <w:lang w:val="en-US"/>
        </w:rPr>
      </w:pPr>
      <w:r w:rsidRPr="0082571A">
        <w:rPr>
          <w:rFonts w:ascii="Times New Roman" w:eastAsia="Calibri" w:hAnsi="Times New Roman" w:cs="Times New Roman"/>
          <w:b/>
          <w:bCs/>
          <w:color w:val="000000"/>
          <w:u w:color="000000"/>
          <w:bdr w:val="nil"/>
          <w:lang w:val="en-US"/>
        </w:rPr>
        <w:t>Composition and preparation of nutrient media</w:t>
      </w:r>
    </w:p>
    <w:p w:rsidR="0082571A" w:rsidRPr="0082571A" w:rsidRDefault="0082571A" w:rsidP="0082571A">
      <w:pPr>
        <w:pBdr>
          <w:top w:val="nil"/>
          <w:left w:val="nil"/>
          <w:bottom w:val="nil"/>
          <w:right w:val="nil"/>
          <w:between w:val="nil"/>
          <w:bar w:val="nil"/>
        </w:pBdr>
        <w:spacing w:after="0" w:line="360" w:lineRule="auto"/>
        <w:jc w:val="both"/>
        <w:rPr>
          <w:rFonts w:ascii="Times New Roman" w:eastAsia="Times New Roman" w:hAnsi="Times New Roman" w:cs="Times New Roman"/>
          <w:color w:val="000000"/>
          <w:u w:color="000000"/>
          <w:bdr w:val="nil"/>
          <w:lang w:val="en-US"/>
        </w:rPr>
      </w:pPr>
      <w:r w:rsidRPr="0082571A">
        <w:rPr>
          <w:rFonts w:ascii="Times New Roman" w:eastAsia="Calibri" w:hAnsi="Times New Roman" w:cs="Times New Roman"/>
          <w:color w:val="000000"/>
          <w:u w:color="000000"/>
          <w:bdr w:val="nil"/>
          <w:lang w:val="en-US"/>
        </w:rPr>
        <w:t>The disinfected leaves were cut in 2-3 mm size with the help of a scalpel and placed in the nutrient medium. MS (</w:t>
      </w:r>
      <w:proofErr w:type="spellStart"/>
      <w:r w:rsidRPr="0082571A">
        <w:rPr>
          <w:rFonts w:ascii="Times New Roman" w:eastAsia="Calibri" w:hAnsi="Times New Roman" w:cs="Times New Roman"/>
          <w:color w:val="000000"/>
          <w:u w:color="000000"/>
          <w:bdr w:val="nil"/>
          <w:lang w:val="en-US"/>
        </w:rPr>
        <w:t>Murashige</w:t>
      </w:r>
      <w:proofErr w:type="spellEnd"/>
      <w:r w:rsidRPr="0082571A">
        <w:rPr>
          <w:rFonts w:ascii="Times New Roman" w:eastAsia="Calibri" w:hAnsi="Times New Roman" w:cs="Times New Roman"/>
          <w:color w:val="000000"/>
          <w:u w:color="000000"/>
          <w:bdr w:val="nil"/>
          <w:lang w:val="en-US"/>
        </w:rPr>
        <w:t xml:space="preserve"> and Skoog, 1962) medium was used as the nutrient medium. Explants were individually transferred into 10 ml petri dish  containing 10</w:t>
      </w:r>
      <w:r w:rsidR="004342C8">
        <w:rPr>
          <w:rFonts w:ascii="Times New Roman" w:eastAsia="Calibri" w:hAnsi="Times New Roman" w:cs="Times New Roman"/>
          <w:color w:val="000000"/>
          <w:u w:color="000000"/>
          <w:bdr w:val="nil"/>
          <w:lang w:val="en-US"/>
        </w:rPr>
        <w:t xml:space="preserve"> </w:t>
      </w:r>
      <w:r w:rsidRPr="0082571A">
        <w:rPr>
          <w:rFonts w:ascii="Times New Roman" w:eastAsia="Calibri" w:hAnsi="Times New Roman" w:cs="Times New Roman"/>
          <w:color w:val="000000"/>
          <w:u w:color="000000"/>
          <w:bdr w:val="nil"/>
          <w:lang w:val="en-US"/>
        </w:rPr>
        <w:t>ml of basal MS medium with 3 % sucrose, 0,8 % agar</w:t>
      </w:r>
      <w:r w:rsidR="00E24F3B">
        <w:rPr>
          <w:rFonts w:ascii="Times New Roman" w:eastAsia="Calibri" w:hAnsi="Times New Roman" w:cs="Times New Roman"/>
          <w:color w:val="000000"/>
          <w:u w:color="000000"/>
          <w:bdr w:val="nil"/>
          <w:lang w:val="en-US"/>
        </w:rPr>
        <w:t xml:space="preserve"> and different combinations of kinetin</w:t>
      </w:r>
      <w:r w:rsidRPr="0082571A">
        <w:rPr>
          <w:rFonts w:ascii="Times New Roman" w:eastAsia="Calibri" w:hAnsi="Times New Roman" w:cs="Times New Roman"/>
          <w:color w:val="000000"/>
          <w:u w:color="000000"/>
          <w:bdr w:val="nil"/>
          <w:lang w:val="en-US"/>
        </w:rPr>
        <w:t>, benzyl amino purine (BAP) and Naphthalene acetic acid (NAA). MS medium with twelve combinations was used (Table 1).</w:t>
      </w:r>
    </w:p>
    <w:p w:rsidR="0082571A" w:rsidRPr="0082571A" w:rsidRDefault="0082571A" w:rsidP="0082571A">
      <w:pPr>
        <w:pBdr>
          <w:top w:val="nil"/>
          <w:left w:val="nil"/>
          <w:bottom w:val="nil"/>
          <w:right w:val="nil"/>
          <w:between w:val="nil"/>
          <w:bar w:val="nil"/>
        </w:pBdr>
        <w:spacing w:after="0" w:line="360" w:lineRule="auto"/>
        <w:jc w:val="both"/>
        <w:rPr>
          <w:rFonts w:ascii="Times New Roman" w:eastAsia="Times New Roman" w:hAnsi="Times New Roman" w:cs="Times New Roman"/>
          <w:color w:val="000000"/>
          <w:u w:color="000000"/>
          <w:bdr w:val="nil"/>
          <w:lang w:val="en-US"/>
        </w:rPr>
      </w:pPr>
      <w:proofErr w:type="gramStart"/>
      <w:r w:rsidRPr="0082571A">
        <w:rPr>
          <w:rFonts w:ascii="Times New Roman" w:eastAsia="Calibri" w:hAnsi="Times New Roman" w:cs="Times New Roman"/>
          <w:color w:val="000000"/>
          <w:u w:color="000000"/>
          <w:bdr w:val="nil"/>
          <w:lang w:val="en-US"/>
        </w:rPr>
        <w:t>Table 1.</w:t>
      </w:r>
      <w:proofErr w:type="gramEnd"/>
      <w:r w:rsidRPr="0082571A">
        <w:rPr>
          <w:rFonts w:ascii="Times New Roman" w:eastAsia="Calibri" w:hAnsi="Times New Roman" w:cs="Times New Roman"/>
          <w:color w:val="000000"/>
          <w:u w:color="000000"/>
          <w:bdr w:val="nil"/>
          <w:lang w:val="en-US"/>
        </w:rPr>
        <w:t xml:space="preserve"> </w:t>
      </w:r>
      <w:proofErr w:type="spellStart"/>
      <w:r w:rsidRPr="0082571A">
        <w:rPr>
          <w:rFonts w:ascii="Times New Roman" w:eastAsia="Calibri" w:hAnsi="Times New Roman" w:cs="Times New Roman"/>
          <w:color w:val="000000"/>
          <w:u w:color="000000"/>
          <w:bdr w:val="nil"/>
          <w:lang w:val="en-US"/>
        </w:rPr>
        <w:t>Murashige</w:t>
      </w:r>
      <w:proofErr w:type="spellEnd"/>
      <w:r w:rsidRPr="0082571A">
        <w:rPr>
          <w:rFonts w:ascii="Times New Roman" w:eastAsia="Calibri" w:hAnsi="Times New Roman" w:cs="Times New Roman"/>
          <w:color w:val="000000"/>
          <w:u w:color="000000"/>
          <w:bdr w:val="nil"/>
          <w:lang w:val="en-US"/>
        </w:rPr>
        <w:t xml:space="preserve"> and </w:t>
      </w:r>
      <w:proofErr w:type="spellStart"/>
      <w:r w:rsidRPr="0082571A">
        <w:rPr>
          <w:rFonts w:ascii="Times New Roman" w:eastAsia="Calibri" w:hAnsi="Times New Roman" w:cs="Times New Roman"/>
          <w:color w:val="000000"/>
          <w:u w:color="000000"/>
          <w:bdr w:val="nil"/>
          <w:lang w:val="en-US"/>
        </w:rPr>
        <w:t>skoog</w:t>
      </w:r>
      <w:proofErr w:type="spellEnd"/>
      <w:r w:rsidRPr="0082571A">
        <w:rPr>
          <w:rFonts w:ascii="Times New Roman" w:eastAsia="Calibri" w:hAnsi="Times New Roman" w:cs="Times New Roman"/>
          <w:color w:val="000000"/>
          <w:u w:color="000000"/>
          <w:bdr w:val="nil"/>
          <w:lang w:val="en-US"/>
        </w:rPr>
        <w:t xml:space="preserve"> (MS) medium with </w:t>
      </w:r>
      <w:r w:rsidRPr="0082571A">
        <w:rPr>
          <w:rFonts w:ascii="Times New Roman" w:eastAsia="Calibri" w:hAnsi="Times New Roman" w:cs="Times New Roman"/>
          <w:color w:val="000000"/>
          <w:u w:color="000000"/>
          <w:bdr w:val="nil"/>
          <w:lang w:val="nl-NL"/>
        </w:rPr>
        <w:t xml:space="preserve">twelve </w:t>
      </w:r>
      <w:r w:rsidRPr="0082571A">
        <w:rPr>
          <w:rFonts w:ascii="Times New Roman" w:eastAsia="Calibri" w:hAnsi="Times New Roman" w:cs="Times New Roman"/>
          <w:color w:val="000000"/>
          <w:u w:color="000000"/>
          <w:bdr w:val="nil"/>
          <w:lang w:val="en-US"/>
        </w:rPr>
        <w:t>compositions of plant growth regulators</w:t>
      </w:r>
    </w:p>
    <w:p w:rsidR="0082571A" w:rsidRPr="0082571A" w:rsidRDefault="0082571A" w:rsidP="0082571A">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en-US"/>
        </w:rPr>
      </w:pPr>
    </w:p>
    <w:tbl>
      <w:tblPr>
        <w:tblStyle w:val="TabloKlavuzu"/>
        <w:tblW w:w="0" w:type="auto"/>
        <w:tblLook w:val="04A0" w:firstRow="1" w:lastRow="0" w:firstColumn="1" w:lastColumn="0" w:noHBand="0" w:noVBand="1"/>
      </w:tblPr>
      <w:tblGrid>
        <w:gridCol w:w="2303"/>
        <w:gridCol w:w="2303"/>
        <w:gridCol w:w="2303"/>
        <w:gridCol w:w="2303"/>
      </w:tblGrid>
      <w:tr w:rsidR="00F01765" w:rsidRPr="00493BE7" w:rsidTr="00635D3F">
        <w:tc>
          <w:tcPr>
            <w:tcW w:w="2303" w:type="dxa"/>
          </w:tcPr>
          <w:p w:rsidR="00F01765" w:rsidRPr="00493BE7" w:rsidRDefault="00F01765" w:rsidP="00635D3F">
            <w:pPr>
              <w:jc w:val="both"/>
              <w:rPr>
                <w:rFonts w:ascii="Times New Roman" w:hAnsi="Times New Roman" w:cs="Times New Roman"/>
              </w:rPr>
            </w:pPr>
            <w:r>
              <w:rPr>
                <w:rFonts w:ascii="Times New Roman" w:hAnsi="Times New Roman" w:cs="Times New Roman"/>
              </w:rPr>
              <w:t xml:space="preserve">Media </w:t>
            </w:r>
            <w:proofErr w:type="spellStart"/>
            <w:r>
              <w:rPr>
                <w:rFonts w:ascii="Times New Roman" w:hAnsi="Times New Roman" w:cs="Times New Roman"/>
              </w:rPr>
              <w:t>codes</w:t>
            </w:r>
            <w:proofErr w:type="spellEnd"/>
          </w:p>
        </w:tc>
        <w:tc>
          <w:tcPr>
            <w:tcW w:w="2303" w:type="dxa"/>
          </w:tcPr>
          <w:p w:rsidR="00F01765" w:rsidRPr="00493BE7" w:rsidRDefault="00F01765" w:rsidP="00635D3F">
            <w:pPr>
              <w:jc w:val="both"/>
              <w:rPr>
                <w:rFonts w:ascii="Times New Roman" w:hAnsi="Times New Roman" w:cs="Times New Roman"/>
                <w:vertAlign w:val="superscript"/>
              </w:rPr>
            </w:pPr>
            <w:r w:rsidRPr="00493BE7">
              <w:rPr>
                <w:rFonts w:ascii="Times New Roman" w:hAnsi="Times New Roman" w:cs="Times New Roman"/>
              </w:rPr>
              <w:t>NAA mgL</w:t>
            </w:r>
            <w:r w:rsidRPr="00493BE7">
              <w:rPr>
                <w:rFonts w:ascii="Times New Roman" w:hAnsi="Times New Roman" w:cs="Times New Roman"/>
                <w:vertAlign w:val="superscript"/>
              </w:rPr>
              <w:t>-1</w:t>
            </w:r>
          </w:p>
        </w:tc>
        <w:tc>
          <w:tcPr>
            <w:tcW w:w="2303" w:type="dxa"/>
          </w:tcPr>
          <w:p w:rsidR="00F01765" w:rsidRPr="00493BE7" w:rsidRDefault="00F01765" w:rsidP="00635D3F">
            <w:pPr>
              <w:jc w:val="both"/>
              <w:rPr>
                <w:rFonts w:ascii="Times New Roman" w:hAnsi="Times New Roman" w:cs="Times New Roman"/>
              </w:rPr>
            </w:pPr>
            <w:r w:rsidRPr="00493BE7">
              <w:rPr>
                <w:rFonts w:ascii="Times New Roman" w:hAnsi="Times New Roman" w:cs="Times New Roman"/>
              </w:rPr>
              <w:t>KİNETİN mgL</w:t>
            </w:r>
            <w:r w:rsidRPr="00493BE7">
              <w:rPr>
                <w:rFonts w:ascii="Times New Roman" w:hAnsi="Times New Roman" w:cs="Times New Roman"/>
                <w:vertAlign w:val="superscript"/>
              </w:rPr>
              <w:t>-1</w:t>
            </w:r>
          </w:p>
        </w:tc>
        <w:tc>
          <w:tcPr>
            <w:tcW w:w="2303" w:type="dxa"/>
          </w:tcPr>
          <w:p w:rsidR="00F01765" w:rsidRPr="00493BE7" w:rsidRDefault="00F01765" w:rsidP="00635D3F">
            <w:pPr>
              <w:jc w:val="both"/>
              <w:rPr>
                <w:rFonts w:ascii="Times New Roman" w:hAnsi="Times New Roman" w:cs="Times New Roman"/>
              </w:rPr>
            </w:pPr>
            <w:r w:rsidRPr="00493BE7">
              <w:rPr>
                <w:rFonts w:ascii="Times New Roman" w:hAnsi="Times New Roman" w:cs="Times New Roman"/>
              </w:rPr>
              <w:t>BAP mgL</w:t>
            </w:r>
            <w:r w:rsidRPr="00493BE7">
              <w:rPr>
                <w:rFonts w:ascii="Times New Roman" w:hAnsi="Times New Roman" w:cs="Times New Roman"/>
                <w:vertAlign w:val="superscript"/>
              </w:rPr>
              <w:t>-1</w:t>
            </w:r>
          </w:p>
        </w:tc>
      </w:tr>
      <w:tr w:rsidR="00F01765" w:rsidRPr="00493BE7" w:rsidTr="00635D3F">
        <w:tc>
          <w:tcPr>
            <w:tcW w:w="2303" w:type="dxa"/>
          </w:tcPr>
          <w:p w:rsidR="00F01765" w:rsidRPr="00493BE7" w:rsidRDefault="00F01765" w:rsidP="00635D3F">
            <w:pPr>
              <w:jc w:val="both"/>
              <w:rPr>
                <w:rFonts w:ascii="Times New Roman" w:hAnsi="Times New Roman" w:cs="Times New Roman"/>
              </w:rPr>
            </w:pPr>
            <w:r w:rsidRPr="00493BE7">
              <w:rPr>
                <w:rFonts w:ascii="Times New Roman" w:hAnsi="Times New Roman" w:cs="Times New Roman"/>
              </w:rPr>
              <w:t>M1</w:t>
            </w:r>
          </w:p>
        </w:tc>
        <w:tc>
          <w:tcPr>
            <w:tcW w:w="2303" w:type="dxa"/>
          </w:tcPr>
          <w:p w:rsidR="00F01765" w:rsidRPr="00493BE7" w:rsidRDefault="00F01765" w:rsidP="00635D3F">
            <w:pPr>
              <w:jc w:val="both"/>
              <w:rPr>
                <w:rFonts w:ascii="Times New Roman" w:hAnsi="Times New Roman" w:cs="Times New Roman"/>
              </w:rPr>
            </w:pPr>
            <w:r w:rsidRPr="00493BE7">
              <w:rPr>
                <w:rFonts w:ascii="Times New Roman" w:hAnsi="Times New Roman" w:cs="Times New Roman"/>
                <w:bCs/>
              </w:rPr>
              <w:t>0,5</w:t>
            </w:r>
          </w:p>
        </w:tc>
        <w:tc>
          <w:tcPr>
            <w:tcW w:w="2303" w:type="dxa"/>
          </w:tcPr>
          <w:p w:rsidR="00F01765" w:rsidRPr="00493BE7" w:rsidRDefault="00F01765" w:rsidP="00635D3F">
            <w:pPr>
              <w:jc w:val="both"/>
              <w:rPr>
                <w:rFonts w:ascii="Times New Roman" w:hAnsi="Times New Roman" w:cs="Times New Roman"/>
              </w:rPr>
            </w:pPr>
            <w:r w:rsidRPr="00493BE7">
              <w:rPr>
                <w:rFonts w:ascii="Times New Roman" w:hAnsi="Times New Roman" w:cs="Times New Roman"/>
                <w:bCs/>
              </w:rPr>
              <w:t>0,5</w:t>
            </w:r>
          </w:p>
        </w:tc>
        <w:tc>
          <w:tcPr>
            <w:tcW w:w="2303" w:type="dxa"/>
          </w:tcPr>
          <w:p w:rsidR="00F01765" w:rsidRPr="00493BE7" w:rsidRDefault="00F01765" w:rsidP="00635D3F">
            <w:pPr>
              <w:jc w:val="both"/>
              <w:rPr>
                <w:rFonts w:ascii="Times New Roman" w:hAnsi="Times New Roman" w:cs="Times New Roman"/>
              </w:rPr>
            </w:pPr>
            <w:r w:rsidRPr="00493BE7">
              <w:rPr>
                <w:rFonts w:ascii="Times New Roman" w:hAnsi="Times New Roman" w:cs="Times New Roman"/>
              </w:rPr>
              <w:t>-</w:t>
            </w:r>
          </w:p>
        </w:tc>
      </w:tr>
      <w:tr w:rsidR="00F01765" w:rsidRPr="00493BE7" w:rsidTr="00635D3F">
        <w:tc>
          <w:tcPr>
            <w:tcW w:w="2303" w:type="dxa"/>
          </w:tcPr>
          <w:p w:rsidR="00F01765" w:rsidRPr="00493BE7" w:rsidRDefault="00F01765" w:rsidP="00635D3F">
            <w:pPr>
              <w:jc w:val="both"/>
              <w:rPr>
                <w:rFonts w:ascii="Times New Roman" w:hAnsi="Times New Roman" w:cs="Times New Roman"/>
              </w:rPr>
            </w:pPr>
            <w:r w:rsidRPr="00493BE7">
              <w:rPr>
                <w:rFonts w:ascii="Times New Roman" w:hAnsi="Times New Roman" w:cs="Times New Roman"/>
              </w:rPr>
              <w:t>M2</w:t>
            </w:r>
          </w:p>
        </w:tc>
        <w:tc>
          <w:tcPr>
            <w:tcW w:w="2303" w:type="dxa"/>
          </w:tcPr>
          <w:p w:rsidR="00F01765" w:rsidRPr="00493BE7" w:rsidRDefault="00F01765" w:rsidP="00635D3F">
            <w:pPr>
              <w:jc w:val="both"/>
              <w:rPr>
                <w:rFonts w:ascii="Times New Roman" w:hAnsi="Times New Roman" w:cs="Times New Roman"/>
              </w:rPr>
            </w:pPr>
            <w:r w:rsidRPr="00493BE7">
              <w:rPr>
                <w:rFonts w:ascii="Times New Roman" w:hAnsi="Times New Roman" w:cs="Times New Roman"/>
                <w:bCs/>
              </w:rPr>
              <w:t>0,5</w:t>
            </w:r>
          </w:p>
        </w:tc>
        <w:tc>
          <w:tcPr>
            <w:tcW w:w="2303" w:type="dxa"/>
          </w:tcPr>
          <w:p w:rsidR="00F01765" w:rsidRPr="00493BE7" w:rsidRDefault="00F01765" w:rsidP="00635D3F">
            <w:pPr>
              <w:jc w:val="both"/>
              <w:rPr>
                <w:rFonts w:ascii="Times New Roman" w:hAnsi="Times New Roman" w:cs="Times New Roman"/>
              </w:rPr>
            </w:pPr>
            <w:r w:rsidRPr="00493BE7">
              <w:rPr>
                <w:rFonts w:ascii="Times New Roman" w:hAnsi="Times New Roman" w:cs="Times New Roman"/>
              </w:rPr>
              <w:t>1,0</w:t>
            </w:r>
          </w:p>
        </w:tc>
        <w:tc>
          <w:tcPr>
            <w:tcW w:w="2303" w:type="dxa"/>
          </w:tcPr>
          <w:p w:rsidR="00F01765" w:rsidRPr="00493BE7" w:rsidRDefault="00F01765" w:rsidP="00635D3F">
            <w:pPr>
              <w:jc w:val="both"/>
              <w:rPr>
                <w:rFonts w:ascii="Times New Roman" w:hAnsi="Times New Roman" w:cs="Times New Roman"/>
              </w:rPr>
            </w:pPr>
            <w:r w:rsidRPr="00493BE7">
              <w:rPr>
                <w:rFonts w:ascii="Times New Roman" w:hAnsi="Times New Roman" w:cs="Times New Roman"/>
              </w:rPr>
              <w:t>-</w:t>
            </w:r>
          </w:p>
        </w:tc>
      </w:tr>
      <w:tr w:rsidR="00F01765" w:rsidRPr="00493BE7" w:rsidTr="00635D3F">
        <w:tc>
          <w:tcPr>
            <w:tcW w:w="2303" w:type="dxa"/>
          </w:tcPr>
          <w:p w:rsidR="00F01765" w:rsidRPr="00493BE7" w:rsidRDefault="00F01765" w:rsidP="00635D3F">
            <w:pPr>
              <w:jc w:val="both"/>
              <w:rPr>
                <w:rFonts w:ascii="Times New Roman" w:hAnsi="Times New Roman" w:cs="Times New Roman"/>
              </w:rPr>
            </w:pPr>
            <w:r w:rsidRPr="00493BE7">
              <w:rPr>
                <w:rFonts w:ascii="Times New Roman" w:hAnsi="Times New Roman" w:cs="Times New Roman"/>
              </w:rPr>
              <w:t>M3</w:t>
            </w:r>
          </w:p>
        </w:tc>
        <w:tc>
          <w:tcPr>
            <w:tcW w:w="2303" w:type="dxa"/>
          </w:tcPr>
          <w:p w:rsidR="00F01765" w:rsidRPr="00493BE7" w:rsidRDefault="00F01765" w:rsidP="00635D3F">
            <w:pPr>
              <w:jc w:val="both"/>
              <w:rPr>
                <w:rFonts w:ascii="Times New Roman" w:hAnsi="Times New Roman" w:cs="Times New Roman"/>
              </w:rPr>
            </w:pPr>
            <w:r w:rsidRPr="00493BE7">
              <w:rPr>
                <w:rFonts w:ascii="Times New Roman" w:hAnsi="Times New Roman" w:cs="Times New Roman"/>
              </w:rPr>
              <w:t>1,0</w:t>
            </w:r>
          </w:p>
        </w:tc>
        <w:tc>
          <w:tcPr>
            <w:tcW w:w="2303" w:type="dxa"/>
          </w:tcPr>
          <w:p w:rsidR="00F01765" w:rsidRPr="00493BE7" w:rsidRDefault="00F01765" w:rsidP="00635D3F">
            <w:pPr>
              <w:jc w:val="both"/>
              <w:rPr>
                <w:rFonts w:ascii="Times New Roman" w:hAnsi="Times New Roman" w:cs="Times New Roman"/>
              </w:rPr>
            </w:pPr>
            <w:r w:rsidRPr="00493BE7">
              <w:rPr>
                <w:rFonts w:ascii="Times New Roman" w:hAnsi="Times New Roman" w:cs="Times New Roman"/>
                <w:bCs/>
              </w:rPr>
              <w:t>0,5</w:t>
            </w:r>
          </w:p>
        </w:tc>
        <w:tc>
          <w:tcPr>
            <w:tcW w:w="2303" w:type="dxa"/>
          </w:tcPr>
          <w:p w:rsidR="00F01765" w:rsidRPr="00493BE7" w:rsidRDefault="00F01765" w:rsidP="00635D3F">
            <w:pPr>
              <w:jc w:val="both"/>
              <w:rPr>
                <w:rFonts w:ascii="Times New Roman" w:hAnsi="Times New Roman" w:cs="Times New Roman"/>
              </w:rPr>
            </w:pPr>
            <w:r w:rsidRPr="00493BE7">
              <w:rPr>
                <w:rFonts w:ascii="Times New Roman" w:hAnsi="Times New Roman" w:cs="Times New Roman"/>
              </w:rPr>
              <w:t>-</w:t>
            </w:r>
          </w:p>
        </w:tc>
      </w:tr>
      <w:tr w:rsidR="00F01765" w:rsidRPr="00493BE7" w:rsidTr="00635D3F">
        <w:tc>
          <w:tcPr>
            <w:tcW w:w="2303" w:type="dxa"/>
          </w:tcPr>
          <w:p w:rsidR="00F01765" w:rsidRPr="00493BE7" w:rsidRDefault="00F01765" w:rsidP="00635D3F">
            <w:pPr>
              <w:jc w:val="both"/>
              <w:rPr>
                <w:rFonts w:ascii="Times New Roman" w:hAnsi="Times New Roman" w:cs="Times New Roman"/>
              </w:rPr>
            </w:pPr>
            <w:r w:rsidRPr="00493BE7">
              <w:rPr>
                <w:rFonts w:ascii="Times New Roman" w:hAnsi="Times New Roman" w:cs="Times New Roman"/>
              </w:rPr>
              <w:t>M4</w:t>
            </w:r>
          </w:p>
        </w:tc>
        <w:tc>
          <w:tcPr>
            <w:tcW w:w="2303" w:type="dxa"/>
          </w:tcPr>
          <w:p w:rsidR="00F01765" w:rsidRPr="00493BE7" w:rsidRDefault="00F01765" w:rsidP="00635D3F">
            <w:pPr>
              <w:jc w:val="both"/>
              <w:rPr>
                <w:rFonts w:ascii="Times New Roman" w:hAnsi="Times New Roman" w:cs="Times New Roman"/>
              </w:rPr>
            </w:pPr>
            <w:r w:rsidRPr="00493BE7">
              <w:rPr>
                <w:rFonts w:ascii="Times New Roman" w:hAnsi="Times New Roman" w:cs="Times New Roman"/>
                <w:bCs/>
              </w:rPr>
              <w:t>1,0</w:t>
            </w:r>
          </w:p>
        </w:tc>
        <w:tc>
          <w:tcPr>
            <w:tcW w:w="2303" w:type="dxa"/>
          </w:tcPr>
          <w:p w:rsidR="00F01765" w:rsidRPr="00493BE7" w:rsidRDefault="00F01765" w:rsidP="00635D3F">
            <w:pPr>
              <w:jc w:val="both"/>
              <w:rPr>
                <w:rFonts w:ascii="Times New Roman" w:hAnsi="Times New Roman" w:cs="Times New Roman"/>
              </w:rPr>
            </w:pPr>
            <w:r w:rsidRPr="00493BE7">
              <w:rPr>
                <w:rFonts w:ascii="Times New Roman" w:hAnsi="Times New Roman" w:cs="Times New Roman"/>
              </w:rPr>
              <w:t>1,0</w:t>
            </w:r>
          </w:p>
        </w:tc>
        <w:tc>
          <w:tcPr>
            <w:tcW w:w="2303" w:type="dxa"/>
          </w:tcPr>
          <w:p w:rsidR="00F01765" w:rsidRPr="00493BE7" w:rsidRDefault="00F01765" w:rsidP="00635D3F">
            <w:pPr>
              <w:jc w:val="both"/>
              <w:rPr>
                <w:rFonts w:ascii="Times New Roman" w:hAnsi="Times New Roman" w:cs="Times New Roman"/>
              </w:rPr>
            </w:pPr>
            <w:r w:rsidRPr="00493BE7">
              <w:rPr>
                <w:rFonts w:ascii="Times New Roman" w:hAnsi="Times New Roman" w:cs="Times New Roman"/>
              </w:rPr>
              <w:t>-</w:t>
            </w:r>
          </w:p>
        </w:tc>
      </w:tr>
      <w:tr w:rsidR="00F01765" w:rsidRPr="00493BE7" w:rsidTr="00635D3F">
        <w:tc>
          <w:tcPr>
            <w:tcW w:w="2303" w:type="dxa"/>
          </w:tcPr>
          <w:p w:rsidR="00F01765" w:rsidRPr="00493BE7" w:rsidRDefault="00F01765" w:rsidP="00635D3F">
            <w:pPr>
              <w:jc w:val="both"/>
              <w:rPr>
                <w:rFonts w:ascii="Times New Roman" w:hAnsi="Times New Roman" w:cs="Times New Roman"/>
              </w:rPr>
            </w:pPr>
            <w:r w:rsidRPr="00493BE7">
              <w:rPr>
                <w:rFonts w:ascii="Times New Roman" w:hAnsi="Times New Roman" w:cs="Times New Roman"/>
              </w:rPr>
              <w:t>M5</w:t>
            </w:r>
          </w:p>
        </w:tc>
        <w:tc>
          <w:tcPr>
            <w:tcW w:w="2303" w:type="dxa"/>
          </w:tcPr>
          <w:p w:rsidR="00F01765" w:rsidRPr="00493BE7" w:rsidRDefault="00F01765" w:rsidP="00635D3F">
            <w:pPr>
              <w:jc w:val="both"/>
              <w:rPr>
                <w:rFonts w:ascii="Times New Roman" w:hAnsi="Times New Roman" w:cs="Times New Roman"/>
              </w:rPr>
            </w:pPr>
            <w:r w:rsidRPr="00493BE7">
              <w:rPr>
                <w:rFonts w:ascii="Times New Roman" w:hAnsi="Times New Roman" w:cs="Times New Roman"/>
              </w:rPr>
              <w:t>0,5</w:t>
            </w:r>
          </w:p>
        </w:tc>
        <w:tc>
          <w:tcPr>
            <w:tcW w:w="2303" w:type="dxa"/>
          </w:tcPr>
          <w:p w:rsidR="00F01765" w:rsidRPr="00493BE7" w:rsidRDefault="00F01765" w:rsidP="00635D3F">
            <w:pPr>
              <w:jc w:val="both"/>
              <w:rPr>
                <w:rFonts w:ascii="Times New Roman" w:hAnsi="Times New Roman" w:cs="Times New Roman"/>
              </w:rPr>
            </w:pPr>
            <w:r w:rsidRPr="00493BE7">
              <w:rPr>
                <w:rFonts w:ascii="Times New Roman" w:hAnsi="Times New Roman" w:cs="Times New Roman"/>
              </w:rPr>
              <w:t>-</w:t>
            </w:r>
          </w:p>
        </w:tc>
        <w:tc>
          <w:tcPr>
            <w:tcW w:w="2303" w:type="dxa"/>
          </w:tcPr>
          <w:p w:rsidR="00F01765" w:rsidRPr="00493BE7" w:rsidRDefault="00F01765" w:rsidP="00635D3F">
            <w:pPr>
              <w:jc w:val="both"/>
              <w:rPr>
                <w:rFonts w:ascii="Times New Roman" w:hAnsi="Times New Roman" w:cs="Times New Roman"/>
              </w:rPr>
            </w:pPr>
            <w:r w:rsidRPr="00493BE7">
              <w:rPr>
                <w:rFonts w:ascii="Times New Roman" w:hAnsi="Times New Roman" w:cs="Times New Roman"/>
              </w:rPr>
              <w:t>1,0</w:t>
            </w:r>
          </w:p>
        </w:tc>
      </w:tr>
      <w:tr w:rsidR="00F01765" w:rsidRPr="00493BE7" w:rsidTr="00635D3F">
        <w:tc>
          <w:tcPr>
            <w:tcW w:w="2303" w:type="dxa"/>
          </w:tcPr>
          <w:p w:rsidR="00F01765" w:rsidRPr="00493BE7" w:rsidRDefault="00F01765" w:rsidP="00635D3F">
            <w:pPr>
              <w:jc w:val="both"/>
              <w:rPr>
                <w:rFonts w:ascii="Times New Roman" w:hAnsi="Times New Roman" w:cs="Times New Roman"/>
              </w:rPr>
            </w:pPr>
            <w:r w:rsidRPr="00493BE7">
              <w:rPr>
                <w:rFonts w:ascii="Times New Roman" w:hAnsi="Times New Roman" w:cs="Times New Roman"/>
              </w:rPr>
              <w:t>M6</w:t>
            </w:r>
          </w:p>
        </w:tc>
        <w:tc>
          <w:tcPr>
            <w:tcW w:w="2303" w:type="dxa"/>
          </w:tcPr>
          <w:p w:rsidR="00F01765" w:rsidRPr="00493BE7" w:rsidRDefault="00F01765" w:rsidP="00635D3F">
            <w:pPr>
              <w:jc w:val="both"/>
              <w:rPr>
                <w:rFonts w:ascii="Times New Roman" w:hAnsi="Times New Roman" w:cs="Times New Roman"/>
              </w:rPr>
            </w:pPr>
            <w:r w:rsidRPr="00493BE7">
              <w:rPr>
                <w:rFonts w:ascii="Times New Roman" w:hAnsi="Times New Roman" w:cs="Times New Roman"/>
              </w:rPr>
              <w:t>0,5</w:t>
            </w:r>
          </w:p>
        </w:tc>
        <w:tc>
          <w:tcPr>
            <w:tcW w:w="2303" w:type="dxa"/>
          </w:tcPr>
          <w:p w:rsidR="00F01765" w:rsidRPr="00493BE7" w:rsidRDefault="00F01765" w:rsidP="00635D3F">
            <w:pPr>
              <w:jc w:val="both"/>
              <w:rPr>
                <w:rFonts w:ascii="Times New Roman" w:hAnsi="Times New Roman" w:cs="Times New Roman"/>
              </w:rPr>
            </w:pPr>
            <w:r w:rsidRPr="00493BE7">
              <w:rPr>
                <w:rFonts w:ascii="Times New Roman" w:hAnsi="Times New Roman" w:cs="Times New Roman"/>
              </w:rPr>
              <w:t>-</w:t>
            </w:r>
          </w:p>
        </w:tc>
        <w:tc>
          <w:tcPr>
            <w:tcW w:w="2303" w:type="dxa"/>
          </w:tcPr>
          <w:p w:rsidR="00F01765" w:rsidRPr="00493BE7" w:rsidRDefault="00F01765" w:rsidP="00635D3F">
            <w:pPr>
              <w:jc w:val="both"/>
              <w:rPr>
                <w:rFonts w:ascii="Times New Roman" w:hAnsi="Times New Roman" w:cs="Times New Roman"/>
              </w:rPr>
            </w:pPr>
            <w:r w:rsidRPr="00493BE7">
              <w:rPr>
                <w:rFonts w:ascii="Times New Roman" w:hAnsi="Times New Roman" w:cs="Times New Roman"/>
              </w:rPr>
              <w:t>2,0</w:t>
            </w:r>
          </w:p>
        </w:tc>
      </w:tr>
      <w:tr w:rsidR="00F01765" w:rsidRPr="00493BE7" w:rsidTr="00635D3F">
        <w:tc>
          <w:tcPr>
            <w:tcW w:w="2303" w:type="dxa"/>
          </w:tcPr>
          <w:p w:rsidR="00F01765" w:rsidRPr="00493BE7" w:rsidRDefault="00F01765" w:rsidP="00635D3F">
            <w:pPr>
              <w:jc w:val="both"/>
              <w:rPr>
                <w:rFonts w:ascii="Times New Roman" w:hAnsi="Times New Roman" w:cs="Times New Roman"/>
              </w:rPr>
            </w:pPr>
            <w:r w:rsidRPr="00493BE7">
              <w:rPr>
                <w:rFonts w:ascii="Times New Roman" w:hAnsi="Times New Roman" w:cs="Times New Roman"/>
              </w:rPr>
              <w:t>M7</w:t>
            </w:r>
          </w:p>
        </w:tc>
        <w:tc>
          <w:tcPr>
            <w:tcW w:w="2303" w:type="dxa"/>
          </w:tcPr>
          <w:p w:rsidR="00F01765" w:rsidRPr="00493BE7" w:rsidRDefault="00F01765" w:rsidP="00635D3F">
            <w:pPr>
              <w:jc w:val="both"/>
              <w:rPr>
                <w:rFonts w:ascii="Times New Roman" w:hAnsi="Times New Roman" w:cs="Times New Roman"/>
              </w:rPr>
            </w:pPr>
            <w:r w:rsidRPr="00493BE7">
              <w:rPr>
                <w:rFonts w:ascii="Times New Roman" w:hAnsi="Times New Roman" w:cs="Times New Roman"/>
              </w:rPr>
              <w:t>1,0</w:t>
            </w:r>
          </w:p>
        </w:tc>
        <w:tc>
          <w:tcPr>
            <w:tcW w:w="2303" w:type="dxa"/>
          </w:tcPr>
          <w:p w:rsidR="00F01765" w:rsidRPr="00493BE7" w:rsidRDefault="00F01765" w:rsidP="00635D3F">
            <w:pPr>
              <w:jc w:val="both"/>
              <w:rPr>
                <w:rFonts w:ascii="Times New Roman" w:hAnsi="Times New Roman" w:cs="Times New Roman"/>
              </w:rPr>
            </w:pPr>
            <w:r w:rsidRPr="00493BE7">
              <w:rPr>
                <w:rFonts w:ascii="Times New Roman" w:hAnsi="Times New Roman" w:cs="Times New Roman"/>
              </w:rPr>
              <w:t>-</w:t>
            </w:r>
          </w:p>
        </w:tc>
        <w:tc>
          <w:tcPr>
            <w:tcW w:w="2303" w:type="dxa"/>
          </w:tcPr>
          <w:p w:rsidR="00F01765" w:rsidRPr="00493BE7" w:rsidRDefault="00F01765" w:rsidP="00635D3F">
            <w:pPr>
              <w:jc w:val="both"/>
              <w:rPr>
                <w:rFonts w:ascii="Times New Roman" w:hAnsi="Times New Roman" w:cs="Times New Roman"/>
              </w:rPr>
            </w:pPr>
            <w:r w:rsidRPr="00493BE7">
              <w:rPr>
                <w:rFonts w:ascii="Times New Roman" w:hAnsi="Times New Roman" w:cs="Times New Roman"/>
              </w:rPr>
              <w:t>1,0</w:t>
            </w:r>
          </w:p>
        </w:tc>
      </w:tr>
      <w:tr w:rsidR="00F01765" w:rsidRPr="00493BE7" w:rsidTr="00635D3F">
        <w:tc>
          <w:tcPr>
            <w:tcW w:w="2303" w:type="dxa"/>
          </w:tcPr>
          <w:p w:rsidR="00F01765" w:rsidRPr="00493BE7" w:rsidRDefault="00F01765" w:rsidP="00635D3F">
            <w:pPr>
              <w:jc w:val="both"/>
              <w:rPr>
                <w:rFonts w:ascii="Times New Roman" w:hAnsi="Times New Roman" w:cs="Times New Roman"/>
              </w:rPr>
            </w:pPr>
            <w:r w:rsidRPr="00493BE7">
              <w:rPr>
                <w:rFonts w:ascii="Times New Roman" w:hAnsi="Times New Roman" w:cs="Times New Roman"/>
              </w:rPr>
              <w:t>M8</w:t>
            </w:r>
          </w:p>
        </w:tc>
        <w:tc>
          <w:tcPr>
            <w:tcW w:w="2303" w:type="dxa"/>
          </w:tcPr>
          <w:p w:rsidR="00F01765" w:rsidRPr="00493BE7" w:rsidRDefault="00F01765" w:rsidP="00635D3F">
            <w:pPr>
              <w:jc w:val="both"/>
              <w:rPr>
                <w:rFonts w:ascii="Times New Roman" w:hAnsi="Times New Roman" w:cs="Times New Roman"/>
              </w:rPr>
            </w:pPr>
            <w:r w:rsidRPr="00493BE7">
              <w:rPr>
                <w:rFonts w:ascii="Times New Roman" w:hAnsi="Times New Roman" w:cs="Times New Roman"/>
              </w:rPr>
              <w:t>1,0</w:t>
            </w:r>
          </w:p>
        </w:tc>
        <w:tc>
          <w:tcPr>
            <w:tcW w:w="2303" w:type="dxa"/>
          </w:tcPr>
          <w:p w:rsidR="00F01765" w:rsidRPr="00493BE7" w:rsidRDefault="00F01765" w:rsidP="00635D3F">
            <w:pPr>
              <w:jc w:val="both"/>
              <w:rPr>
                <w:rFonts w:ascii="Times New Roman" w:hAnsi="Times New Roman" w:cs="Times New Roman"/>
              </w:rPr>
            </w:pPr>
            <w:r w:rsidRPr="00493BE7">
              <w:rPr>
                <w:rFonts w:ascii="Times New Roman" w:hAnsi="Times New Roman" w:cs="Times New Roman"/>
              </w:rPr>
              <w:t>-</w:t>
            </w:r>
          </w:p>
        </w:tc>
        <w:tc>
          <w:tcPr>
            <w:tcW w:w="2303" w:type="dxa"/>
          </w:tcPr>
          <w:p w:rsidR="00F01765" w:rsidRPr="00493BE7" w:rsidRDefault="00F01765" w:rsidP="00635D3F">
            <w:pPr>
              <w:jc w:val="both"/>
              <w:rPr>
                <w:rFonts w:ascii="Times New Roman" w:hAnsi="Times New Roman" w:cs="Times New Roman"/>
              </w:rPr>
            </w:pPr>
            <w:r w:rsidRPr="00493BE7">
              <w:rPr>
                <w:rFonts w:ascii="Times New Roman" w:hAnsi="Times New Roman" w:cs="Times New Roman"/>
              </w:rPr>
              <w:t>2,0</w:t>
            </w:r>
          </w:p>
        </w:tc>
      </w:tr>
      <w:tr w:rsidR="00F01765" w:rsidRPr="00493BE7" w:rsidTr="00635D3F">
        <w:tc>
          <w:tcPr>
            <w:tcW w:w="2303" w:type="dxa"/>
          </w:tcPr>
          <w:p w:rsidR="00F01765" w:rsidRPr="00493BE7" w:rsidRDefault="00F01765" w:rsidP="00635D3F">
            <w:pPr>
              <w:jc w:val="both"/>
              <w:rPr>
                <w:rFonts w:ascii="Times New Roman" w:hAnsi="Times New Roman" w:cs="Times New Roman"/>
              </w:rPr>
            </w:pPr>
            <w:r w:rsidRPr="00493BE7">
              <w:rPr>
                <w:rFonts w:ascii="Times New Roman" w:hAnsi="Times New Roman" w:cs="Times New Roman"/>
              </w:rPr>
              <w:t>M9</w:t>
            </w:r>
          </w:p>
        </w:tc>
        <w:tc>
          <w:tcPr>
            <w:tcW w:w="2303" w:type="dxa"/>
          </w:tcPr>
          <w:p w:rsidR="00F01765" w:rsidRPr="00493BE7" w:rsidRDefault="00F01765" w:rsidP="00635D3F">
            <w:pPr>
              <w:jc w:val="both"/>
              <w:rPr>
                <w:rFonts w:ascii="Times New Roman" w:hAnsi="Times New Roman" w:cs="Times New Roman"/>
              </w:rPr>
            </w:pPr>
            <w:r w:rsidRPr="00493BE7">
              <w:rPr>
                <w:rFonts w:ascii="Times New Roman" w:hAnsi="Times New Roman" w:cs="Times New Roman"/>
              </w:rPr>
              <w:t>-</w:t>
            </w:r>
          </w:p>
        </w:tc>
        <w:tc>
          <w:tcPr>
            <w:tcW w:w="2303" w:type="dxa"/>
          </w:tcPr>
          <w:p w:rsidR="00F01765" w:rsidRPr="00493BE7" w:rsidRDefault="00F01765" w:rsidP="00635D3F">
            <w:pPr>
              <w:jc w:val="both"/>
              <w:rPr>
                <w:rFonts w:ascii="Times New Roman" w:hAnsi="Times New Roman" w:cs="Times New Roman"/>
              </w:rPr>
            </w:pPr>
            <w:r w:rsidRPr="00493BE7">
              <w:rPr>
                <w:rFonts w:ascii="Times New Roman" w:hAnsi="Times New Roman" w:cs="Times New Roman"/>
                <w:bCs/>
              </w:rPr>
              <w:t>0,5</w:t>
            </w:r>
          </w:p>
        </w:tc>
        <w:tc>
          <w:tcPr>
            <w:tcW w:w="2303" w:type="dxa"/>
          </w:tcPr>
          <w:p w:rsidR="00F01765" w:rsidRPr="00493BE7" w:rsidRDefault="00F01765" w:rsidP="00635D3F">
            <w:pPr>
              <w:jc w:val="both"/>
              <w:rPr>
                <w:rFonts w:ascii="Times New Roman" w:hAnsi="Times New Roman" w:cs="Times New Roman"/>
              </w:rPr>
            </w:pPr>
            <w:r w:rsidRPr="00493BE7">
              <w:rPr>
                <w:rFonts w:ascii="Times New Roman" w:hAnsi="Times New Roman" w:cs="Times New Roman"/>
              </w:rPr>
              <w:t>1,0</w:t>
            </w:r>
          </w:p>
        </w:tc>
      </w:tr>
      <w:tr w:rsidR="00F01765" w:rsidRPr="00493BE7" w:rsidTr="00635D3F">
        <w:tc>
          <w:tcPr>
            <w:tcW w:w="2303" w:type="dxa"/>
          </w:tcPr>
          <w:p w:rsidR="00F01765" w:rsidRPr="00493BE7" w:rsidRDefault="00F01765" w:rsidP="00635D3F">
            <w:pPr>
              <w:jc w:val="both"/>
              <w:rPr>
                <w:rFonts w:ascii="Times New Roman" w:hAnsi="Times New Roman" w:cs="Times New Roman"/>
              </w:rPr>
            </w:pPr>
            <w:r w:rsidRPr="00493BE7">
              <w:rPr>
                <w:rFonts w:ascii="Times New Roman" w:hAnsi="Times New Roman" w:cs="Times New Roman"/>
              </w:rPr>
              <w:t>M10</w:t>
            </w:r>
          </w:p>
        </w:tc>
        <w:tc>
          <w:tcPr>
            <w:tcW w:w="2303" w:type="dxa"/>
          </w:tcPr>
          <w:p w:rsidR="00F01765" w:rsidRPr="00493BE7" w:rsidRDefault="00F01765" w:rsidP="00635D3F">
            <w:pPr>
              <w:jc w:val="both"/>
              <w:rPr>
                <w:rFonts w:ascii="Times New Roman" w:hAnsi="Times New Roman" w:cs="Times New Roman"/>
              </w:rPr>
            </w:pPr>
            <w:r w:rsidRPr="00493BE7">
              <w:rPr>
                <w:rFonts w:ascii="Times New Roman" w:hAnsi="Times New Roman" w:cs="Times New Roman"/>
              </w:rPr>
              <w:t>-</w:t>
            </w:r>
          </w:p>
        </w:tc>
        <w:tc>
          <w:tcPr>
            <w:tcW w:w="2303" w:type="dxa"/>
          </w:tcPr>
          <w:p w:rsidR="00F01765" w:rsidRPr="00493BE7" w:rsidRDefault="00F01765" w:rsidP="00635D3F">
            <w:pPr>
              <w:jc w:val="both"/>
              <w:rPr>
                <w:rFonts w:ascii="Times New Roman" w:hAnsi="Times New Roman" w:cs="Times New Roman"/>
              </w:rPr>
            </w:pPr>
            <w:r w:rsidRPr="00493BE7">
              <w:rPr>
                <w:rFonts w:ascii="Times New Roman" w:hAnsi="Times New Roman" w:cs="Times New Roman"/>
              </w:rPr>
              <w:t>1,0</w:t>
            </w:r>
          </w:p>
        </w:tc>
        <w:tc>
          <w:tcPr>
            <w:tcW w:w="2303" w:type="dxa"/>
          </w:tcPr>
          <w:p w:rsidR="00F01765" w:rsidRPr="00493BE7" w:rsidRDefault="00F01765" w:rsidP="00635D3F">
            <w:pPr>
              <w:jc w:val="both"/>
              <w:rPr>
                <w:rFonts w:ascii="Times New Roman" w:hAnsi="Times New Roman" w:cs="Times New Roman"/>
              </w:rPr>
            </w:pPr>
            <w:r w:rsidRPr="00493BE7">
              <w:rPr>
                <w:rFonts w:ascii="Times New Roman" w:hAnsi="Times New Roman" w:cs="Times New Roman"/>
              </w:rPr>
              <w:t>2,0</w:t>
            </w:r>
          </w:p>
        </w:tc>
      </w:tr>
      <w:tr w:rsidR="00F01765" w:rsidRPr="00493BE7" w:rsidTr="00635D3F">
        <w:tc>
          <w:tcPr>
            <w:tcW w:w="2303" w:type="dxa"/>
          </w:tcPr>
          <w:p w:rsidR="00F01765" w:rsidRPr="00493BE7" w:rsidRDefault="00F01765" w:rsidP="00635D3F">
            <w:pPr>
              <w:jc w:val="both"/>
              <w:rPr>
                <w:rFonts w:ascii="Times New Roman" w:hAnsi="Times New Roman" w:cs="Times New Roman"/>
              </w:rPr>
            </w:pPr>
            <w:r w:rsidRPr="00493BE7">
              <w:rPr>
                <w:rFonts w:ascii="Times New Roman" w:hAnsi="Times New Roman" w:cs="Times New Roman"/>
              </w:rPr>
              <w:t>M11</w:t>
            </w:r>
          </w:p>
        </w:tc>
        <w:tc>
          <w:tcPr>
            <w:tcW w:w="2303" w:type="dxa"/>
          </w:tcPr>
          <w:p w:rsidR="00F01765" w:rsidRPr="00493BE7" w:rsidRDefault="00F01765" w:rsidP="00635D3F">
            <w:pPr>
              <w:jc w:val="both"/>
              <w:rPr>
                <w:rFonts w:ascii="Times New Roman" w:hAnsi="Times New Roman" w:cs="Times New Roman"/>
              </w:rPr>
            </w:pPr>
            <w:r w:rsidRPr="00493BE7">
              <w:rPr>
                <w:rFonts w:ascii="Times New Roman" w:hAnsi="Times New Roman" w:cs="Times New Roman"/>
              </w:rPr>
              <w:t>-</w:t>
            </w:r>
          </w:p>
        </w:tc>
        <w:tc>
          <w:tcPr>
            <w:tcW w:w="2303" w:type="dxa"/>
          </w:tcPr>
          <w:p w:rsidR="00F01765" w:rsidRPr="00493BE7" w:rsidRDefault="00F01765" w:rsidP="00635D3F">
            <w:pPr>
              <w:jc w:val="both"/>
              <w:rPr>
                <w:rFonts w:ascii="Times New Roman" w:hAnsi="Times New Roman" w:cs="Times New Roman"/>
              </w:rPr>
            </w:pPr>
            <w:r w:rsidRPr="00493BE7">
              <w:rPr>
                <w:rFonts w:ascii="Times New Roman" w:hAnsi="Times New Roman" w:cs="Times New Roman"/>
                <w:bCs/>
              </w:rPr>
              <w:t>0,5</w:t>
            </w:r>
          </w:p>
        </w:tc>
        <w:tc>
          <w:tcPr>
            <w:tcW w:w="2303" w:type="dxa"/>
          </w:tcPr>
          <w:p w:rsidR="00F01765" w:rsidRPr="00493BE7" w:rsidRDefault="00F01765" w:rsidP="00635D3F">
            <w:pPr>
              <w:jc w:val="both"/>
              <w:rPr>
                <w:rFonts w:ascii="Times New Roman" w:hAnsi="Times New Roman" w:cs="Times New Roman"/>
              </w:rPr>
            </w:pPr>
            <w:r w:rsidRPr="00493BE7">
              <w:rPr>
                <w:rFonts w:ascii="Times New Roman" w:hAnsi="Times New Roman" w:cs="Times New Roman"/>
              </w:rPr>
              <w:t>1,0</w:t>
            </w:r>
          </w:p>
        </w:tc>
      </w:tr>
      <w:tr w:rsidR="00F01765" w:rsidRPr="00493BE7" w:rsidTr="00635D3F">
        <w:tc>
          <w:tcPr>
            <w:tcW w:w="2303" w:type="dxa"/>
          </w:tcPr>
          <w:p w:rsidR="00F01765" w:rsidRPr="00493BE7" w:rsidRDefault="00F01765" w:rsidP="00635D3F">
            <w:pPr>
              <w:jc w:val="both"/>
              <w:rPr>
                <w:rFonts w:ascii="Times New Roman" w:hAnsi="Times New Roman" w:cs="Times New Roman"/>
              </w:rPr>
            </w:pPr>
            <w:r w:rsidRPr="00493BE7">
              <w:rPr>
                <w:rFonts w:ascii="Times New Roman" w:hAnsi="Times New Roman" w:cs="Times New Roman"/>
              </w:rPr>
              <w:t>M12</w:t>
            </w:r>
          </w:p>
        </w:tc>
        <w:tc>
          <w:tcPr>
            <w:tcW w:w="2303" w:type="dxa"/>
          </w:tcPr>
          <w:p w:rsidR="00F01765" w:rsidRPr="00493BE7" w:rsidRDefault="00F01765" w:rsidP="00635D3F">
            <w:pPr>
              <w:jc w:val="both"/>
              <w:rPr>
                <w:rFonts w:ascii="Times New Roman" w:hAnsi="Times New Roman" w:cs="Times New Roman"/>
              </w:rPr>
            </w:pPr>
            <w:r w:rsidRPr="00493BE7">
              <w:rPr>
                <w:rFonts w:ascii="Times New Roman" w:hAnsi="Times New Roman" w:cs="Times New Roman"/>
              </w:rPr>
              <w:t>-</w:t>
            </w:r>
          </w:p>
        </w:tc>
        <w:tc>
          <w:tcPr>
            <w:tcW w:w="2303" w:type="dxa"/>
          </w:tcPr>
          <w:p w:rsidR="00F01765" w:rsidRPr="00493BE7" w:rsidRDefault="00F01765" w:rsidP="00635D3F">
            <w:pPr>
              <w:jc w:val="both"/>
              <w:rPr>
                <w:rFonts w:ascii="Times New Roman" w:hAnsi="Times New Roman" w:cs="Times New Roman"/>
              </w:rPr>
            </w:pPr>
            <w:r w:rsidRPr="00493BE7">
              <w:rPr>
                <w:rFonts w:ascii="Times New Roman" w:hAnsi="Times New Roman" w:cs="Times New Roman"/>
              </w:rPr>
              <w:t>1,0</w:t>
            </w:r>
          </w:p>
        </w:tc>
        <w:tc>
          <w:tcPr>
            <w:tcW w:w="2303" w:type="dxa"/>
          </w:tcPr>
          <w:p w:rsidR="00F01765" w:rsidRPr="00493BE7" w:rsidRDefault="00F01765" w:rsidP="00635D3F">
            <w:pPr>
              <w:jc w:val="both"/>
              <w:rPr>
                <w:rFonts w:ascii="Times New Roman" w:hAnsi="Times New Roman" w:cs="Times New Roman"/>
              </w:rPr>
            </w:pPr>
            <w:r w:rsidRPr="00493BE7">
              <w:rPr>
                <w:rFonts w:ascii="Times New Roman" w:hAnsi="Times New Roman" w:cs="Times New Roman"/>
              </w:rPr>
              <w:t>2,0</w:t>
            </w:r>
          </w:p>
        </w:tc>
      </w:tr>
    </w:tbl>
    <w:p w:rsidR="0082571A" w:rsidRPr="0082571A" w:rsidRDefault="0082571A" w:rsidP="0082571A">
      <w:pPr>
        <w:pBdr>
          <w:top w:val="nil"/>
          <w:left w:val="nil"/>
          <w:bottom w:val="nil"/>
          <w:right w:val="nil"/>
          <w:between w:val="nil"/>
          <w:bar w:val="nil"/>
        </w:pBdr>
        <w:spacing w:after="0" w:line="360" w:lineRule="auto"/>
        <w:jc w:val="both"/>
        <w:rPr>
          <w:rFonts w:ascii="Times New Roman" w:eastAsia="Times New Roman" w:hAnsi="Times New Roman" w:cs="Times New Roman"/>
          <w:color w:val="000000"/>
          <w:u w:color="000000"/>
          <w:bdr w:val="nil"/>
          <w:lang w:val="en-US"/>
        </w:rPr>
      </w:pPr>
    </w:p>
    <w:p w:rsidR="0082571A" w:rsidRPr="0082571A" w:rsidRDefault="0082571A" w:rsidP="0082571A">
      <w:pPr>
        <w:pBdr>
          <w:top w:val="nil"/>
          <w:left w:val="nil"/>
          <w:bottom w:val="nil"/>
          <w:right w:val="nil"/>
          <w:between w:val="nil"/>
          <w:bar w:val="nil"/>
        </w:pBdr>
        <w:spacing w:after="0" w:line="360" w:lineRule="auto"/>
        <w:jc w:val="both"/>
        <w:rPr>
          <w:rFonts w:ascii="Times New Roman" w:eastAsia="Times New Roman" w:hAnsi="Times New Roman" w:cs="Times New Roman"/>
          <w:b/>
          <w:bCs/>
          <w:color w:val="000000"/>
          <w:u w:color="000000"/>
          <w:bdr w:val="nil"/>
          <w:lang w:val="en-US"/>
        </w:rPr>
      </w:pPr>
      <w:r w:rsidRPr="0082571A">
        <w:rPr>
          <w:rFonts w:ascii="Times New Roman" w:eastAsia="Calibri" w:hAnsi="Times New Roman" w:cs="Times New Roman"/>
          <w:b/>
          <w:bCs/>
          <w:color w:val="000000"/>
          <w:u w:color="000000"/>
          <w:bdr w:val="nil"/>
          <w:lang w:val="en-US"/>
        </w:rPr>
        <w:t>Growth conditions:</w:t>
      </w:r>
    </w:p>
    <w:p w:rsidR="0082571A" w:rsidRPr="0082571A" w:rsidRDefault="0082571A" w:rsidP="0082571A">
      <w:pPr>
        <w:pBdr>
          <w:top w:val="nil"/>
          <w:left w:val="nil"/>
          <w:bottom w:val="nil"/>
          <w:right w:val="nil"/>
          <w:between w:val="nil"/>
          <w:bar w:val="nil"/>
        </w:pBdr>
        <w:spacing w:after="0" w:line="360" w:lineRule="auto"/>
        <w:jc w:val="both"/>
        <w:rPr>
          <w:rFonts w:ascii="Times New Roman" w:eastAsia="Times New Roman" w:hAnsi="Times New Roman" w:cs="Times New Roman"/>
          <w:color w:val="000000"/>
          <w:u w:color="000000"/>
          <w:bdr w:val="nil"/>
          <w:lang w:val="en-US"/>
        </w:rPr>
      </w:pPr>
      <w:r w:rsidRPr="0082571A">
        <w:rPr>
          <w:rFonts w:ascii="Times New Roman" w:eastAsia="Calibri" w:hAnsi="Times New Roman" w:cs="Times New Roman"/>
          <w:color w:val="000000"/>
          <w:u w:color="000000"/>
          <w:bdr w:val="nil"/>
          <w:lang w:val="en-US"/>
        </w:rPr>
        <w:lastRenderedPageBreak/>
        <w:t>Cultures were maintained at 25 ±2</w:t>
      </w:r>
      <w:r w:rsidRPr="0082571A">
        <w:rPr>
          <w:rFonts w:ascii="Times New Roman" w:eastAsia="Calibri" w:hAnsi="Times New Roman" w:cs="Times New Roman"/>
          <w:color w:val="000000"/>
          <w:u w:color="000000"/>
          <w:bdr w:val="nil"/>
          <w:lang w:val="it-IT"/>
        </w:rPr>
        <w:t>°</w:t>
      </w:r>
      <w:r w:rsidRPr="0082571A">
        <w:rPr>
          <w:rFonts w:ascii="Times New Roman" w:eastAsia="Calibri" w:hAnsi="Times New Roman" w:cs="Times New Roman"/>
          <w:color w:val="000000"/>
          <w:u w:color="000000"/>
          <w:bdr w:val="nil"/>
          <w:lang w:val="en-US"/>
        </w:rPr>
        <w:t xml:space="preserve">C in two different growth conditions as light and dark. The light </w:t>
      </w:r>
      <w:proofErr w:type="gramStart"/>
      <w:r w:rsidRPr="0082571A">
        <w:rPr>
          <w:rFonts w:ascii="Times New Roman" w:eastAsia="Calibri" w:hAnsi="Times New Roman" w:cs="Times New Roman"/>
          <w:color w:val="000000"/>
          <w:u w:color="000000"/>
          <w:bdr w:val="nil"/>
          <w:lang w:val="en-US"/>
        </w:rPr>
        <w:t>condition  group</w:t>
      </w:r>
      <w:proofErr w:type="gramEnd"/>
      <w:r w:rsidRPr="0082571A">
        <w:rPr>
          <w:rFonts w:ascii="Times New Roman" w:eastAsia="Calibri" w:hAnsi="Times New Roman" w:cs="Times New Roman"/>
          <w:color w:val="000000"/>
          <w:u w:color="000000"/>
          <w:bdr w:val="nil"/>
          <w:lang w:val="en-US"/>
        </w:rPr>
        <w:t xml:space="preserve"> was transferred directly to the Air Conditioning-room with 25 ±2 </w:t>
      </w:r>
      <w:proofErr w:type="spellStart"/>
      <w:r w:rsidRPr="0082571A">
        <w:rPr>
          <w:rFonts w:ascii="Times New Roman" w:eastAsia="Calibri" w:hAnsi="Times New Roman" w:cs="Times New Roman"/>
          <w:color w:val="000000"/>
          <w:u w:color="000000"/>
          <w:bdr w:val="nil"/>
          <w:vertAlign w:val="superscript"/>
          <w:lang w:val="en-US"/>
        </w:rPr>
        <w:t>o</w:t>
      </w:r>
      <w:r w:rsidRPr="0082571A">
        <w:rPr>
          <w:rFonts w:ascii="Times New Roman" w:eastAsia="Calibri" w:hAnsi="Times New Roman" w:cs="Times New Roman"/>
          <w:color w:val="000000"/>
          <w:u w:color="000000"/>
          <w:bdr w:val="nil"/>
          <w:lang w:val="en-US"/>
        </w:rPr>
        <w:t>C</w:t>
      </w:r>
      <w:proofErr w:type="spellEnd"/>
      <w:r w:rsidRPr="0082571A">
        <w:rPr>
          <w:rFonts w:ascii="Times New Roman" w:eastAsia="Calibri" w:hAnsi="Times New Roman" w:cs="Times New Roman"/>
          <w:color w:val="000000"/>
          <w:u w:color="000000"/>
          <w:bdr w:val="nil"/>
          <w:lang w:val="en-US"/>
        </w:rPr>
        <w:t xml:space="preserve"> temperature, 16 hours of </w:t>
      </w:r>
      <w:r w:rsidR="004342C8">
        <w:rPr>
          <w:rFonts w:ascii="Times New Roman" w:eastAsia="Calibri" w:hAnsi="Times New Roman" w:cs="Times New Roman"/>
          <w:color w:val="000000"/>
          <w:u w:color="000000"/>
          <w:bdr w:val="nil"/>
          <w:lang w:val="en-US"/>
        </w:rPr>
        <w:t xml:space="preserve"> </w:t>
      </w:r>
      <w:r w:rsidRPr="0082571A">
        <w:rPr>
          <w:rFonts w:ascii="Times New Roman" w:eastAsia="Calibri" w:hAnsi="Times New Roman" w:cs="Times New Roman"/>
          <w:color w:val="000000"/>
          <w:u w:color="000000"/>
          <w:bdr w:val="nil"/>
          <w:lang w:val="en-US"/>
        </w:rPr>
        <w:t xml:space="preserve">light and 8 hours of darkness, and 3000 lux light intensity. The dark growth </w:t>
      </w:r>
      <w:proofErr w:type="gramStart"/>
      <w:r w:rsidRPr="0082571A">
        <w:rPr>
          <w:rFonts w:ascii="Times New Roman" w:eastAsia="Calibri" w:hAnsi="Times New Roman" w:cs="Times New Roman"/>
          <w:color w:val="000000"/>
          <w:u w:color="000000"/>
          <w:bdr w:val="nil"/>
          <w:lang w:val="en-US"/>
        </w:rPr>
        <w:t>condition  group</w:t>
      </w:r>
      <w:proofErr w:type="gramEnd"/>
      <w:r w:rsidRPr="0082571A">
        <w:rPr>
          <w:rFonts w:ascii="Times New Roman" w:eastAsia="Calibri" w:hAnsi="Times New Roman" w:cs="Times New Roman"/>
          <w:color w:val="000000"/>
          <w:u w:color="000000"/>
          <w:bdr w:val="nil"/>
          <w:lang w:val="en-US"/>
        </w:rPr>
        <w:t xml:space="preserve"> was kept in the dark for 15 days in a growth chamber set at 25 ±2 </w:t>
      </w:r>
      <w:proofErr w:type="spellStart"/>
      <w:r w:rsidRPr="0082571A">
        <w:rPr>
          <w:rFonts w:ascii="Times New Roman" w:eastAsia="Calibri" w:hAnsi="Times New Roman" w:cs="Times New Roman"/>
          <w:color w:val="000000"/>
          <w:u w:color="000000"/>
          <w:bdr w:val="nil"/>
          <w:vertAlign w:val="superscript"/>
          <w:lang w:val="en-US"/>
        </w:rPr>
        <w:t>o</w:t>
      </w:r>
      <w:r w:rsidRPr="0082571A">
        <w:rPr>
          <w:rFonts w:ascii="Times New Roman" w:eastAsia="Calibri" w:hAnsi="Times New Roman" w:cs="Times New Roman"/>
          <w:color w:val="000000"/>
          <w:u w:color="000000"/>
          <w:bdr w:val="nil"/>
          <w:lang w:val="en-US"/>
        </w:rPr>
        <w:t>C</w:t>
      </w:r>
      <w:proofErr w:type="spellEnd"/>
      <w:r w:rsidRPr="0082571A">
        <w:rPr>
          <w:rFonts w:ascii="Times New Roman" w:eastAsia="Calibri" w:hAnsi="Times New Roman" w:cs="Times New Roman"/>
          <w:color w:val="000000"/>
          <w:u w:color="000000"/>
          <w:bdr w:val="nil"/>
          <w:lang w:val="en-US"/>
        </w:rPr>
        <w:t>, then transferred to the acclimatization room and waited for callus formation.</w:t>
      </w:r>
    </w:p>
    <w:p w:rsidR="0082571A" w:rsidRPr="0082571A" w:rsidRDefault="0082571A" w:rsidP="0082571A">
      <w:pPr>
        <w:pBdr>
          <w:top w:val="nil"/>
          <w:left w:val="nil"/>
          <w:bottom w:val="nil"/>
          <w:right w:val="nil"/>
          <w:between w:val="nil"/>
          <w:bar w:val="nil"/>
        </w:pBdr>
        <w:spacing w:after="0" w:line="360" w:lineRule="auto"/>
        <w:jc w:val="both"/>
        <w:rPr>
          <w:rFonts w:ascii="Times New Roman" w:eastAsia="Times New Roman" w:hAnsi="Times New Roman" w:cs="Times New Roman"/>
          <w:b/>
          <w:bCs/>
          <w:color w:val="000000"/>
          <w:u w:color="000000"/>
          <w:bdr w:val="nil"/>
          <w:lang w:val="en-US"/>
        </w:rPr>
      </w:pPr>
      <w:proofErr w:type="spellStart"/>
      <w:r w:rsidRPr="0082571A">
        <w:rPr>
          <w:rFonts w:ascii="Times New Roman" w:eastAsia="Calibri" w:hAnsi="Times New Roman" w:cs="Times New Roman"/>
          <w:b/>
          <w:bCs/>
          <w:color w:val="000000"/>
          <w:u w:color="000000"/>
          <w:bdr w:val="nil"/>
          <w:lang w:val="fr-FR"/>
        </w:rPr>
        <w:t>Callus</w:t>
      </w:r>
      <w:proofErr w:type="spellEnd"/>
      <w:r w:rsidRPr="0082571A">
        <w:rPr>
          <w:rFonts w:ascii="Times New Roman" w:eastAsia="Calibri" w:hAnsi="Times New Roman" w:cs="Times New Roman"/>
          <w:b/>
          <w:bCs/>
          <w:color w:val="000000"/>
          <w:u w:color="000000"/>
          <w:bdr w:val="nil"/>
          <w:lang w:val="fr-FR"/>
        </w:rPr>
        <w:t xml:space="preserve"> formation rate</w:t>
      </w:r>
    </w:p>
    <w:p w:rsidR="0082571A" w:rsidRPr="0082571A" w:rsidRDefault="0082571A" w:rsidP="0082571A">
      <w:pPr>
        <w:pBdr>
          <w:top w:val="nil"/>
          <w:left w:val="nil"/>
          <w:bottom w:val="nil"/>
          <w:right w:val="nil"/>
          <w:between w:val="nil"/>
          <w:bar w:val="nil"/>
        </w:pBdr>
        <w:spacing w:after="0" w:line="360" w:lineRule="auto"/>
        <w:jc w:val="both"/>
        <w:rPr>
          <w:rFonts w:ascii="Times New Roman" w:eastAsia="Times New Roman" w:hAnsi="Times New Roman" w:cs="Times New Roman"/>
          <w:color w:val="000000"/>
          <w:u w:color="000000"/>
          <w:bdr w:val="nil"/>
          <w:lang w:val="en-US"/>
        </w:rPr>
      </w:pPr>
      <w:r w:rsidRPr="0082571A">
        <w:rPr>
          <w:rFonts w:ascii="Times New Roman" w:eastAsia="Calibri" w:hAnsi="Times New Roman" w:cs="Times New Roman"/>
          <w:color w:val="000000"/>
          <w:u w:color="000000"/>
          <w:bdr w:val="nil"/>
          <w:lang w:val="en-US"/>
        </w:rPr>
        <w:t xml:space="preserve">The percentage of callus formation was calculated 50 days after </w:t>
      </w:r>
      <w:r w:rsidRPr="0082571A">
        <w:rPr>
          <w:rFonts w:ascii="Times New Roman" w:eastAsia="Calibri" w:hAnsi="Times New Roman" w:cs="Times New Roman"/>
          <w:color w:val="000000"/>
          <w:u w:color="000000"/>
          <w:bdr w:val="nil"/>
          <w:lang w:val="it-IT"/>
        </w:rPr>
        <w:t>culture.</w:t>
      </w:r>
      <w:r w:rsidRPr="0082571A">
        <w:rPr>
          <w:rFonts w:ascii="Times New Roman" w:eastAsia="Calibri" w:hAnsi="Times New Roman" w:cs="Times New Roman"/>
          <w:color w:val="000000"/>
          <w:u w:color="000000"/>
          <w:bdr w:val="nil"/>
          <w:lang w:val="en-US"/>
        </w:rPr>
        <w:t xml:space="preserve"> </w:t>
      </w:r>
    </w:p>
    <w:p w:rsidR="0082571A" w:rsidRPr="0082571A" w:rsidRDefault="0082571A" w:rsidP="0082571A">
      <w:pPr>
        <w:pBdr>
          <w:top w:val="nil"/>
          <w:left w:val="nil"/>
          <w:bottom w:val="nil"/>
          <w:right w:val="nil"/>
          <w:between w:val="nil"/>
          <w:bar w:val="nil"/>
        </w:pBdr>
        <w:spacing w:after="0" w:line="360" w:lineRule="auto"/>
        <w:jc w:val="both"/>
        <w:rPr>
          <w:rFonts w:ascii="Times New Roman" w:eastAsia="Times New Roman" w:hAnsi="Times New Roman" w:cs="Times New Roman"/>
          <w:color w:val="000000"/>
          <w:u w:color="000000"/>
          <w:bdr w:val="nil"/>
          <w:lang w:val="en-US"/>
        </w:rPr>
      </w:pPr>
      <w:r w:rsidRPr="0082571A">
        <w:rPr>
          <w:rFonts w:ascii="Times New Roman" w:eastAsia="Calibri" w:hAnsi="Times New Roman" w:cs="Times New Roman"/>
          <w:color w:val="000000"/>
          <w:u w:color="000000"/>
          <w:bdr w:val="nil"/>
          <w:lang w:val="en-US"/>
        </w:rPr>
        <w:t xml:space="preserve">Callus formation (%) = (number of explants forming callus ÷ Total number of explants) × 100. </w:t>
      </w:r>
    </w:p>
    <w:p w:rsidR="0082571A" w:rsidRPr="0082571A" w:rsidRDefault="0082571A" w:rsidP="0082571A">
      <w:pPr>
        <w:pBdr>
          <w:top w:val="nil"/>
          <w:left w:val="nil"/>
          <w:bottom w:val="nil"/>
          <w:right w:val="nil"/>
          <w:between w:val="nil"/>
          <w:bar w:val="nil"/>
        </w:pBdr>
        <w:spacing w:after="0" w:line="360" w:lineRule="auto"/>
        <w:jc w:val="both"/>
        <w:rPr>
          <w:rFonts w:ascii="Times New Roman" w:eastAsia="Times New Roman" w:hAnsi="Times New Roman" w:cs="Times New Roman"/>
          <w:color w:val="000000"/>
          <w:u w:color="000000"/>
          <w:bdr w:val="nil"/>
          <w:lang w:val="en-US"/>
        </w:rPr>
      </w:pPr>
      <w:r w:rsidRPr="0082571A">
        <w:rPr>
          <w:rFonts w:ascii="Times New Roman" w:eastAsia="Calibri" w:hAnsi="Times New Roman" w:cs="Times New Roman"/>
          <w:color w:val="000000"/>
          <w:u w:color="000000"/>
          <w:bdr w:val="nil"/>
          <w:lang w:val="en-US"/>
        </w:rPr>
        <w:t>Callus fresh weight (mg)</w:t>
      </w:r>
      <w:r w:rsidR="004342C8" w:rsidRPr="004342C8">
        <w:rPr>
          <w:rFonts w:ascii="Times New Roman" w:eastAsia="Calibri" w:hAnsi="Times New Roman" w:cs="Times New Roman"/>
          <w:color w:val="000000"/>
          <w:u w:color="000000"/>
          <w:bdr w:val="nil"/>
          <w:lang w:val="en-US"/>
        </w:rPr>
        <w:t xml:space="preserve"> </w:t>
      </w:r>
      <w:proofErr w:type="gramStart"/>
      <w:r w:rsidR="004342C8" w:rsidRPr="0082571A">
        <w:rPr>
          <w:rFonts w:ascii="Times New Roman" w:eastAsia="Calibri" w:hAnsi="Times New Roman" w:cs="Times New Roman"/>
          <w:color w:val="000000"/>
          <w:u w:color="000000"/>
          <w:bdr w:val="nil"/>
          <w:lang w:val="en-US"/>
        </w:rPr>
        <w:t xml:space="preserve">= </w:t>
      </w:r>
      <w:r w:rsidRPr="0082571A">
        <w:rPr>
          <w:rFonts w:ascii="Times New Roman" w:eastAsia="Calibri" w:hAnsi="Times New Roman" w:cs="Times New Roman"/>
          <w:color w:val="000000"/>
          <w:u w:color="000000"/>
          <w:bdr w:val="nil"/>
          <w:lang w:val="en-US"/>
        </w:rPr>
        <w:t xml:space="preserve"> Fresh</w:t>
      </w:r>
      <w:proofErr w:type="gramEnd"/>
      <w:r w:rsidRPr="0082571A">
        <w:rPr>
          <w:rFonts w:ascii="Times New Roman" w:eastAsia="Calibri" w:hAnsi="Times New Roman" w:cs="Times New Roman"/>
          <w:color w:val="000000"/>
          <w:u w:color="000000"/>
          <w:bdr w:val="nil"/>
          <w:lang w:val="en-US"/>
        </w:rPr>
        <w:t xml:space="preserve"> weight of different </w:t>
      </w:r>
      <w:proofErr w:type="spellStart"/>
      <w:r w:rsidRPr="0082571A">
        <w:rPr>
          <w:rFonts w:ascii="Times New Roman" w:eastAsia="Calibri" w:hAnsi="Times New Roman" w:cs="Times New Roman"/>
          <w:color w:val="000000"/>
          <w:u w:color="000000"/>
          <w:bdr w:val="nil"/>
          <w:lang w:val="en-US"/>
        </w:rPr>
        <w:t>calli</w:t>
      </w:r>
      <w:proofErr w:type="spellEnd"/>
      <w:r w:rsidRPr="0082571A">
        <w:rPr>
          <w:rFonts w:ascii="Times New Roman" w:eastAsia="Calibri" w:hAnsi="Times New Roman" w:cs="Times New Roman"/>
          <w:color w:val="000000"/>
          <w:u w:color="000000"/>
          <w:bdr w:val="nil"/>
          <w:lang w:val="en-US"/>
        </w:rPr>
        <w:t xml:space="preserve"> cultures was recorded after 50 days of cultivation. Each treatment was made in triplicate.</w:t>
      </w:r>
    </w:p>
    <w:p w:rsidR="0082571A" w:rsidRPr="0082571A" w:rsidRDefault="0082571A" w:rsidP="0082571A">
      <w:pPr>
        <w:pBdr>
          <w:top w:val="nil"/>
          <w:left w:val="nil"/>
          <w:bottom w:val="nil"/>
          <w:right w:val="nil"/>
          <w:between w:val="nil"/>
          <w:bar w:val="nil"/>
        </w:pBdr>
        <w:spacing w:after="0" w:line="360" w:lineRule="auto"/>
        <w:jc w:val="both"/>
        <w:rPr>
          <w:rFonts w:ascii="Times New Roman" w:eastAsia="Times New Roman" w:hAnsi="Times New Roman" w:cs="Times New Roman"/>
          <w:color w:val="000000"/>
          <w:u w:color="000000"/>
          <w:bdr w:val="nil"/>
          <w:lang w:val="en-US"/>
        </w:rPr>
      </w:pPr>
      <w:r w:rsidRPr="0082571A">
        <w:rPr>
          <w:rFonts w:ascii="Times New Roman" w:eastAsia="Calibri" w:hAnsi="Times New Roman" w:cs="Times New Roman"/>
          <w:color w:val="000000"/>
          <w:u w:color="000000"/>
          <w:bdr w:val="nil"/>
          <w:lang w:val="it-IT"/>
        </w:rPr>
        <w:t>Callus Diameter (cm):</w:t>
      </w:r>
      <w:r w:rsidRPr="0082571A">
        <w:rPr>
          <w:rFonts w:ascii="Times New Roman" w:eastAsia="Calibri" w:hAnsi="Times New Roman" w:cs="Times New Roman"/>
          <w:color w:val="000000"/>
          <w:u w:color="000000"/>
          <w:bdr w:val="nil"/>
          <w:lang w:val="en-US"/>
        </w:rPr>
        <w:t xml:space="preserve"> Callus diameter of different </w:t>
      </w:r>
      <w:proofErr w:type="spellStart"/>
      <w:r w:rsidRPr="0082571A">
        <w:rPr>
          <w:rFonts w:ascii="Times New Roman" w:eastAsia="Calibri" w:hAnsi="Times New Roman" w:cs="Times New Roman"/>
          <w:color w:val="000000"/>
          <w:u w:color="000000"/>
          <w:bdr w:val="nil"/>
          <w:lang w:val="en-US"/>
        </w:rPr>
        <w:t>calli</w:t>
      </w:r>
      <w:proofErr w:type="spellEnd"/>
      <w:r w:rsidRPr="0082571A">
        <w:rPr>
          <w:rFonts w:ascii="Times New Roman" w:eastAsia="Calibri" w:hAnsi="Times New Roman" w:cs="Times New Roman"/>
          <w:color w:val="000000"/>
          <w:u w:color="000000"/>
          <w:bdr w:val="nil"/>
          <w:lang w:val="en-US"/>
        </w:rPr>
        <w:t xml:space="preserve"> were recorded after 50 days of cultivation. Each treatment was made in triplicate.</w:t>
      </w:r>
    </w:p>
    <w:p w:rsidR="0082571A" w:rsidRPr="0082571A" w:rsidRDefault="0082571A" w:rsidP="0082571A">
      <w:pPr>
        <w:pBdr>
          <w:top w:val="nil"/>
          <w:left w:val="nil"/>
          <w:bottom w:val="nil"/>
          <w:right w:val="nil"/>
          <w:between w:val="nil"/>
          <w:bar w:val="nil"/>
        </w:pBdr>
        <w:spacing w:after="0" w:line="360" w:lineRule="auto"/>
        <w:jc w:val="both"/>
        <w:rPr>
          <w:rFonts w:ascii="Times New Roman" w:eastAsia="Times New Roman" w:hAnsi="Times New Roman" w:cs="Times New Roman"/>
          <w:b/>
          <w:bCs/>
          <w:color w:val="000000"/>
          <w:u w:color="000000"/>
          <w:bdr w:val="nil"/>
          <w:lang w:val="en-US"/>
        </w:rPr>
      </w:pPr>
      <w:r w:rsidRPr="0082571A">
        <w:rPr>
          <w:rFonts w:ascii="Times New Roman" w:eastAsia="Calibri" w:hAnsi="Times New Roman" w:cs="Times New Roman"/>
          <w:b/>
          <w:bCs/>
          <w:color w:val="000000"/>
          <w:u w:color="000000"/>
          <w:bdr w:val="nil"/>
          <w:lang w:val="en-US"/>
        </w:rPr>
        <w:t>Data analysis</w:t>
      </w:r>
    </w:p>
    <w:p w:rsidR="0082571A" w:rsidRPr="0082571A" w:rsidRDefault="0082571A" w:rsidP="0082571A">
      <w:pPr>
        <w:pBdr>
          <w:top w:val="nil"/>
          <w:left w:val="nil"/>
          <w:bottom w:val="nil"/>
          <w:right w:val="nil"/>
          <w:between w:val="nil"/>
          <w:bar w:val="nil"/>
        </w:pBdr>
        <w:spacing w:after="0" w:line="360" w:lineRule="auto"/>
        <w:jc w:val="both"/>
        <w:rPr>
          <w:rFonts w:ascii="Times New Roman" w:eastAsia="Times New Roman" w:hAnsi="Times New Roman" w:cs="Times New Roman"/>
          <w:b/>
          <w:bCs/>
          <w:color w:val="000000"/>
          <w:u w:color="000000"/>
          <w:bdr w:val="nil"/>
          <w:lang w:val="en-US"/>
        </w:rPr>
      </w:pPr>
      <w:r w:rsidRPr="0082571A">
        <w:rPr>
          <w:rFonts w:ascii="Times New Roman" w:eastAsia="Calibri" w:hAnsi="Times New Roman" w:cs="Times New Roman"/>
          <w:color w:val="000000"/>
          <w:u w:color="000000"/>
          <w:bdr w:val="nil"/>
          <w:lang w:val="en-US"/>
        </w:rPr>
        <w:t xml:space="preserve">The least significant difference (Duncan) at P&lt;0.05 was used for means comparison. Statistical differences between the </w:t>
      </w:r>
      <w:proofErr w:type="gramStart"/>
      <w:r w:rsidRPr="0082571A">
        <w:rPr>
          <w:rFonts w:ascii="Times New Roman" w:eastAsia="Calibri" w:hAnsi="Times New Roman" w:cs="Times New Roman"/>
          <w:color w:val="000000"/>
          <w:u w:color="000000"/>
          <w:bdr w:val="nil"/>
          <w:lang w:val="en-US"/>
        </w:rPr>
        <w:t>nutrient</w:t>
      </w:r>
      <w:proofErr w:type="gramEnd"/>
      <w:r w:rsidRPr="0082571A">
        <w:rPr>
          <w:rFonts w:ascii="Times New Roman" w:eastAsia="Calibri" w:hAnsi="Times New Roman" w:cs="Times New Roman"/>
          <w:color w:val="000000"/>
          <w:u w:color="000000"/>
          <w:bdr w:val="nil"/>
          <w:lang w:val="en-US"/>
        </w:rPr>
        <w:t xml:space="preserve"> media were shown in lower case, whereas statistical differences between the growth conditions were shown </w:t>
      </w:r>
      <w:r w:rsidRPr="0082571A">
        <w:rPr>
          <w:rFonts w:ascii="Times New Roman" w:eastAsia="Calibri" w:hAnsi="Times New Roman" w:cs="Times New Roman"/>
          <w:color w:val="000000"/>
          <w:u w:color="000000"/>
          <w:bdr w:val="nil"/>
          <w:lang w:val="it-IT"/>
        </w:rPr>
        <w:t>in capital letters</w:t>
      </w:r>
      <w:r w:rsidRPr="0082571A">
        <w:rPr>
          <w:rFonts w:ascii="Times New Roman" w:eastAsia="Calibri" w:hAnsi="Times New Roman" w:cs="Times New Roman"/>
          <w:color w:val="000000"/>
          <w:u w:color="000000"/>
          <w:bdr w:val="nil"/>
          <w:lang w:val="en-US"/>
        </w:rPr>
        <w:t>.</w:t>
      </w:r>
    </w:p>
    <w:p w:rsidR="0082571A" w:rsidRPr="00C80B18" w:rsidRDefault="0082571A" w:rsidP="0082571A">
      <w:pPr>
        <w:pBdr>
          <w:top w:val="nil"/>
          <w:left w:val="nil"/>
          <w:bottom w:val="nil"/>
          <w:right w:val="nil"/>
          <w:between w:val="nil"/>
          <w:bar w:val="nil"/>
        </w:pBdr>
        <w:spacing w:after="0" w:line="360" w:lineRule="auto"/>
        <w:jc w:val="both"/>
        <w:rPr>
          <w:rFonts w:ascii="Times New Roman" w:eastAsia="Calibri" w:hAnsi="Times New Roman" w:cs="Times New Roman"/>
          <w:b/>
          <w:color w:val="000000"/>
          <w:u w:color="000000"/>
          <w:bdr w:val="nil"/>
          <w:lang w:val="en-US"/>
        </w:rPr>
      </w:pPr>
      <w:r w:rsidRPr="0082571A">
        <w:rPr>
          <w:rFonts w:ascii="Times New Roman" w:eastAsia="Calibri" w:hAnsi="Times New Roman" w:cs="Times New Roman"/>
          <w:b/>
          <w:bCs/>
          <w:color w:val="000000"/>
          <w:u w:color="000000"/>
          <w:bdr w:val="nil"/>
          <w:lang w:val="en-US"/>
        </w:rPr>
        <w:t xml:space="preserve">Result </w:t>
      </w:r>
      <w:r w:rsidR="00692545">
        <w:rPr>
          <w:rFonts w:ascii="Times New Roman" w:eastAsia="Calibri" w:hAnsi="Times New Roman" w:cs="Times New Roman"/>
          <w:b/>
          <w:bCs/>
          <w:color w:val="000000"/>
          <w:u w:color="000000"/>
          <w:bdr w:val="nil"/>
          <w:lang w:val="en-US"/>
        </w:rPr>
        <w:t xml:space="preserve">and </w:t>
      </w:r>
      <w:proofErr w:type="spellStart"/>
      <w:r w:rsidR="00692545" w:rsidRPr="001C6749">
        <w:rPr>
          <w:rFonts w:ascii="Times New Roman" w:eastAsia="Calibri" w:hAnsi="Times New Roman" w:cs="Times New Roman"/>
          <w:b/>
          <w:color w:val="000000"/>
          <w:u w:color="000000"/>
          <w:bdr w:val="nil"/>
          <w:lang w:val="en-US"/>
        </w:rPr>
        <w:t>Discusion</w:t>
      </w:r>
      <w:proofErr w:type="spellEnd"/>
    </w:p>
    <w:p w:rsidR="0082571A" w:rsidRDefault="0082571A" w:rsidP="0082571A">
      <w:pPr>
        <w:pBdr>
          <w:top w:val="nil"/>
          <w:left w:val="nil"/>
          <w:bottom w:val="nil"/>
          <w:right w:val="nil"/>
          <w:between w:val="nil"/>
          <w:bar w:val="nil"/>
        </w:pBdr>
        <w:spacing w:after="0" w:line="360" w:lineRule="auto"/>
        <w:jc w:val="both"/>
        <w:rPr>
          <w:rFonts w:ascii="Times New Roman" w:eastAsia="Times New Roman" w:hAnsi="Times New Roman" w:cs="Times New Roman"/>
          <w:b/>
          <w:bCs/>
          <w:color w:val="000000"/>
          <w:u w:color="000000"/>
          <w:bdr w:val="nil"/>
          <w:lang w:val="en-US"/>
        </w:rPr>
      </w:pPr>
      <w:proofErr w:type="spellStart"/>
      <w:r w:rsidRPr="0082571A">
        <w:rPr>
          <w:rFonts w:ascii="Times New Roman" w:eastAsia="Calibri" w:hAnsi="Times New Roman" w:cs="Times New Roman"/>
          <w:color w:val="000000"/>
          <w:u w:color="000000"/>
          <w:bdr w:val="nil"/>
          <w:lang w:val="fr-FR"/>
        </w:rPr>
        <w:t>Callus</w:t>
      </w:r>
      <w:proofErr w:type="spellEnd"/>
      <w:r w:rsidRPr="0082571A">
        <w:rPr>
          <w:rFonts w:ascii="Times New Roman" w:eastAsia="Calibri" w:hAnsi="Times New Roman" w:cs="Times New Roman"/>
          <w:color w:val="000000"/>
          <w:u w:color="000000"/>
          <w:bdr w:val="nil"/>
          <w:lang w:val="fr-FR"/>
        </w:rPr>
        <w:t xml:space="preserve"> induction </w:t>
      </w:r>
      <w:r w:rsidRPr="0082571A">
        <w:rPr>
          <w:rFonts w:ascii="Times New Roman" w:eastAsia="Calibri" w:hAnsi="Times New Roman" w:cs="Times New Roman"/>
          <w:color w:val="000000"/>
          <w:u w:color="000000"/>
          <w:bdr w:val="nil"/>
          <w:lang w:val="en-US"/>
        </w:rPr>
        <w:t xml:space="preserve">was observed on the explants approximately 20 days after culture. The effect of plant growth regulators and maintaining the cultures in the dark on callus formation 50 days after culture in </w:t>
      </w:r>
      <w:proofErr w:type="spellStart"/>
      <w:r w:rsidRPr="004342C8">
        <w:rPr>
          <w:rFonts w:ascii="Times New Roman" w:eastAsia="Calibri" w:hAnsi="Times New Roman" w:cs="Times New Roman"/>
          <w:i/>
          <w:color w:val="000000"/>
          <w:u w:color="000000"/>
          <w:bdr w:val="nil"/>
          <w:lang w:val="en-US"/>
        </w:rPr>
        <w:t>Codiaeum</w:t>
      </w:r>
      <w:proofErr w:type="spellEnd"/>
      <w:r w:rsidRPr="004342C8">
        <w:rPr>
          <w:rFonts w:ascii="Times New Roman" w:eastAsia="Calibri" w:hAnsi="Times New Roman" w:cs="Times New Roman"/>
          <w:i/>
          <w:color w:val="000000"/>
          <w:u w:color="000000"/>
          <w:bdr w:val="nil"/>
          <w:lang w:val="en-US"/>
        </w:rPr>
        <w:t xml:space="preserve"> </w:t>
      </w:r>
      <w:proofErr w:type="spellStart"/>
      <w:r w:rsidRPr="004342C8">
        <w:rPr>
          <w:rFonts w:ascii="Times New Roman" w:eastAsia="Calibri" w:hAnsi="Times New Roman" w:cs="Times New Roman"/>
          <w:i/>
          <w:color w:val="000000"/>
          <w:u w:color="000000"/>
          <w:bdr w:val="nil"/>
          <w:lang w:val="en-US"/>
        </w:rPr>
        <w:t>variegatum</w:t>
      </w:r>
      <w:proofErr w:type="spellEnd"/>
      <w:r w:rsidRPr="0082571A">
        <w:rPr>
          <w:rFonts w:ascii="Times New Roman" w:eastAsia="Calibri" w:hAnsi="Times New Roman" w:cs="Times New Roman"/>
          <w:color w:val="000000"/>
          <w:u w:color="000000"/>
          <w:bdr w:val="nil"/>
          <w:lang w:val="en-US"/>
        </w:rPr>
        <w:t xml:space="preserve"> is presented in Fig 1, Fig 2, and Fig 3.</w:t>
      </w:r>
      <w:r w:rsidRPr="0082571A">
        <w:rPr>
          <w:rFonts w:ascii="Times New Roman" w:eastAsia="Times New Roman" w:hAnsi="Times New Roman" w:cs="Times New Roman"/>
          <w:b/>
          <w:bCs/>
          <w:color w:val="000000"/>
          <w:u w:color="000000"/>
          <w:bdr w:val="nil"/>
          <w:lang w:val="en-US"/>
        </w:rPr>
        <w:tab/>
      </w:r>
    </w:p>
    <w:p w:rsidR="004D3759" w:rsidRPr="0082571A" w:rsidRDefault="004D3759" w:rsidP="004D3759">
      <w:pPr>
        <w:pBdr>
          <w:top w:val="nil"/>
          <w:left w:val="nil"/>
          <w:bottom w:val="nil"/>
          <w:right w:val="nil"/>
          <w:between w:val="nil"/>
          <w:bar w:val="nil"/>
        </w:pBdr>
        <w:spacing w:after="0" w:line="360" w:lineRule="auto"/>
        <w:jc w:val="both"/>
        <w:rPr>
          <w:rFonts w:ascii="Times New Roman" w:eastAsia="Times New Roman" w:hAnsi="Times New Roman" w:cs="Times New Roman"/>
          <w:b/>
          <w:bCs/>
          <w:color w:val="000000"/>
          <w:u w:color="000000"/>
          <w:bdr w:val="nil"/>
          <w:lang w:val="en-US"/>
        </w:rPr>
      </w:pPr>
      <w:r w:rsidRPr="0082571A">
        <w:rPr>
          <w:rFonts w:ascii="Times New Roman" w:eastAsia="Calibri" w:hAnsi="Times New Roman" w:cs="Times New Roman"/>
          <w:b/>
          <w:bCs/>
          <w:color w:val="000000"/>
          <w:u w:color="000000"/>
          <w:bdr w:val="nil"/>
          <w:lang w:val="en-US"/>
        </w:rPr>
        <w:t>The effect of dark growth conditions on the callus induction</w:t>
      </w:r>
    </w:p>
    <w:p w:rsidR="004D3759" w:rsidRPr="004D3759" w:rsidRDefault="004D3759" w:rsidP="0082571A">
      <w:pPr>
        <w:pBdr>
          <w:top w:val="nil"/>
          <w:left w:val="nil"/>
          <w:bottom w:val="nil"/>
          <w:right w:val="nil"/>
          <w:between w:val="nil"/>
          <w:bar w:val="nil"/>
        </w:pBdr>
        <w:spacing w:after="0" w:line="360" w:lineRule="auto"/>
        <w:jc w:val="both"/>
        <w:rPr>
          <w:rFonts w:ascii="Times New Roman" w:eastAsia="Calibri" w:hAnsi="Times New Roman" w:cs="Times New Roman"/>
          <w:color w:val="000000"/>
          <w:u w:color="000000"/>
          <w:bdr w:val="nil"/>
          <w:lang w:val="en-US"/>
        </w:rPr>
      </w:pPr>
      <w:r w:rsidRPr="0082571A">
        <w:rPr>
          <w:rFonts w:ascii="Times New Roman" w:eastAsia="Calibri" w:hAnsi="Times New Roman" w:cs="Times New Roman"/>
          <w:color w:val="000000"/>
          <w:u w:color="000000"/>
          <w:bdr w:val="nil"/>
          <w:lang w:val="en-US"/>
        </w:rPr>
        <w:t>Looking at the results, waiting in the dark did not have a positive effect on callus induction by itself. However, when looking at the media and light interaction, the positive effect of keeping it in the dark was seen in M4 and M9 medium. The highest rate of callus formation (88.89%) for the M9 medium was in dark conditions</w:t>
      </w:r>
      <w:r>
        <w:rPr>
          <w:rFonts w:ascii="Times New Roman" w:eastAsia="Calibri" w:hAnsi="Times New Roman" w:cs="Times New Roman"/>
          <w:color w:val="000000"/>
          <w:u w:color="000000"/>
          <w:bdr w:val="nil"/>
          <w:lang w:val="en-US"/>
        </w:rPr>
        <w:t xml:space="preserve"> (Fig 1)</w:t>
      </w:r>
      <w:r w:rsidRPr="0082571A">
        <w:rPr>
          <w:rFonts w:ascii="Times New Roman" w:eastAsia="Calibri" w:hAnsi="Times New Roman" w:cs="Times New Roman"/>
          <w:color w:val="000000"/>
          <w:u w:color="000000"/>
          <w:bdr w:val="nil"/>
          <w:lang w:val="en-US"/>
        </w:rPr>
        <w:t xml:space="preserve">. </w:t>
      </w:r>
    </w:p>
    <w:p w:rsidR="0082571A" w:rsidRPr="0082571A" w:rsidRDefault="0082571A" w:rsidP="0082571A">
      <w:pPr>
        <w:pBdr>
          <w:top w:val="nil"/>
          <w:left w:val="nil"/>
          <w:bottom w:val="nil"/>
          <w:right w:val="nil"/>
          <w:between w:val="nil"/>
          <w:bar w:val="nil"/>
        </w:pBdr>
        <w:spacing w:after="0" w:line="360" w:lineRule="auto"/>
        <w:jc w:val="both"/>
        <w:rPr>
          <w:rFonts w:ascii="Times New Roman" w:eastAsia="Times New Roman" w:hAnsi="Times New Roman" w:cs="Times New Roman"/>
          <w:b/>
          <w:bCs/>
          <w:color w:val="000000"/>
          <w:u w:color="000000"/>
          <w:bdr w:val="nil"/>
          <w:lang w:val="en-US"/>
        </w:rPr>
      </w:pPr>
      <w:r w:rsidRPr="0082571A">
        <w:rPr>
          <w:rFonts w:ascii="Times New Roman" w:eastAsia="Calibri" w:hAnsi="Times New Roman" w:cs="Times New Roman"/>
          <w:b/>
          <w:bCs/>
          <w:color w:val="000000"/>
          <w:u w:color="000000"/>
          <w:bdr w:val="nil"/>
          <w:lang w:val="en-US"/>
        </w:rPr>
        <w:t>The effect of different plant growth regulators on callus formation in croton</w:t>
      </w:r>
    </w:p>
    <w:p w:rsidR="001C6749" w:rsidRDefault="0082571A" w:rsidP="0082571A">
      <w:pPr>
        <w:pBdr>
          <w:top w:val="nil"/>
          <w:left w:val="nil"/>
          <w:bottom w:val="nil"/>
          <w:right w:val="nil"/>
          <w:between w:val="nil"/>
          <w:bar w:val="nil"/>
        </w:pBdr>
        <w:spacing w:after="0" w:line="360" w:lineRule="auto"/>
        <w:jc w:val="both"/>
        <w:rPr>
          <w:rFonts w:ascii="Times New Roman" w:eastAsia="Calibri" w:hAnsi="Times New Roman" w:cs="Times New Roman"/>
          <w:color w:val="000000"/>
          <w:u w:color="000000"/>
          <w:bdr w:val="nil"/>
          <w:lang w:val="en-US"/>
        </w:rPr>
      </w:pPr>
      <w:r w:rsidRPr="0082571A">
        <w:rPr>
          <w:rFonts w:ascii="Times New Roman" w:eastAsia="Calibri" w:hAnsi="Times New Roman" w:cs="Times New Roman"/>
          <w:color w:val="000000"/>
          <w:u w:color="000000"/>
          <w:bdr w:val="nil"/>
          <w:lang w:val="en-US"/>
        </w:rPr>
        <w:t>In the study, 3 plant growth regulators (kinetin, NAA, BAP) were added to the nutrient media in 12 different combinations. The highest callus diameter (1.0 cm) was observed in M9 (MS+0.5 mg/L Kinetin+1.0 mg/L BAP) medium</w:t>
      </w:r>
      <w:r w:rsidR="004D3759">
        <w:rPr>
          <w:rFonts w:ascii="Times New Roman" w:eastAsia="Calibri" w:hAnsi="Times New Roman" w:cs="Times New Roman"/>
          <w:color w:val="000000"/>
          <w:u w:color="000000"/>
          <w:bdr w:val="nil"/>
          <w:lang w:val="en-US"/>
        </w:rPr>
        <w:t xml:space="preserve"> (Fig 2)</w:t>
      </w:r>
      <w:r w:rsidRPr="0082571A">
        <w:rPr>
          <w:rFonts w:ascii="Times New Roman" w:eastAsia="Calibri" w:hAnsi="Times New Roman" w:cs="Times New Roman"/>
          <w:color w:val="000000"/>
          <w:u w:color="000000"/>
          <w:bdr w:val="nil"/>
          <w:lang w:val="en-US"/>
        </w:rPr>
        <w:t>. In callus weight, the best result (444.6 mg) was obtained from M9 (MS+0.5 mg/L Kinetin+1.0 mg/L BAP) medium</w:t>
      </w:r>
      <w:r w:rsidR="004D3759">
        <w:rPr>
          <w:rFonts w:ascii="Times New Roman" w:eastAsia="Calibri" w:hAnsi="Times New Roman" w:cs="Times New Roman"/>
          <w:color w:val="000000"/>
          <w:u w:color="000000"/>
          <w:bdr w:val="nil"/>
          <w:lang w:val="en-US"/>
        </w:rPr>
        <w:t xml:space="preserve"> (Fig 3)</w:t>
      </w:r>
      <w:r w:rsidRPr="0082571A">
        <w:rPr>
          <w:rFonts w:ascii="Times New Roman" w:eastAsia="Calibri" w:hAnsi="Times New Roman" w:cs="Times New Roman"/>
          <w:color w:val="000000"/>
          <w:u w:color="000000"/>
          <w:bdr w:val="nil"/>
          <w:lang w:val="en-US"/>
        </w:rPr>
        <w:t xml:space="preserve">. There was no callus formation in media M10, M11, and M12. The best results were obtained from media combined with NAA. </w:t>
      </w:r>
    </w:p>
    <w:p w:rsidR="00D74F85" w:rsidRDefault="001C6749" w:rsidP="0082571A">
      <w:pPr>
        <w:pBdr>
          <w:top w:val="nil"/>
          <w:left w:val="nil"/>
          <w:bottom w:val="nil"/>
          <w:right w:val="nil"/>
          <w:between w:val="nil"/>
          <w:bar w:val="nil"/>
        </w:pBdr>
        <w:spacing w:after="0" w:line="360" w:lineRule="auto"/>
        <w:jc w:val="both"/>
        <w:rPr>
          <w:rFonts w:ascii="Times New Roman" w:eastAsia="Calibri" w:hAnsi="Times New Roman" w:cs="Times New Roman"/>
          <w:color w:val="000000"/>
          <w:u w:color="000000"/>
          <w:bdr w:val="nil"/>
          <w:lang w:val="en-US"/>
        </w:rPr>
      </w:pPr>
      <w:r w:rsidRPr="001C6749">
        <w:rPr>
          <w:rFonts w:ascii="Times New Roman" w:eastAsia="Calibri" w:hAnsi="Times New Roman" w:cs="Times New Roman"/>
          <w:color w:val="000000"/>
          <w:u w:color="000000"/>
          <w:bdr w:val="nil"/>
          <w:lang w:val="en-US"/>
        </w:rPr>
        <w:t xml:space="preserve">MS </w:t>
      </w:r>
      <w:proofErr w:type="spellStart"/>
      <w:r w:rsidRPr="001C6749">
        <w:rPr>
          <w:rFonts w:ascii="Times New Roman" w:eastAsia="Calibri" w:hAnsi="Times New Roman" w:cs="Times New Roman"/>
          <w:color w:val="000000"/>
          <w:u w:color="000000"/>
          <w:bdr w:val="nil"/>
          <w:lang w:val="en-US"/>
        </w:rPr>
        <w:t>combinated</w:t>
      </w:r>
      <w:proofErr w:type="spellEnd"/>
      <w:r w:rsidRPr="001C6749">
        <w:rPr>
          <w:rFonts w:ascii="Times New Roman" w:eastAsia="Calibri" w:hAnsi="Times New Roman" w:cs="Times New Roman"/>
          <w:color w:val="000000"/>
          <w:u w:color="000000"/>
          <w:bdr w:val="nil"/>
          <w:lang w:val="en-US"/>
        </w:rPr>
        <w:t xml:space="preserve"> with auxin and </w:t>
      </w:r>
      <w:proofErr w:type="spellStart"/>
      <w:r w:rsidRPr="001C6749">
        <w:rPr>
          <w:rFonts w:ascii="Times New Roman" w:eastAsia="Calibri" w:hAnsi="Times New Roman" w:cs="Times New Roman"/>
          <w:color w:val="000000"/>
          <w:u w:color="000000"/>
          <w:bdr w:val="nil"/>
          <w:lang w:val="en-US"/>
        </w:rPr>
        <w:t>cytokinin</w:t>
      </w:r>
      <w:proofErr w:type="spellEnd"/>
      <w:r w:rsidRPr="001C6749">
        <w:rPr>
          <w:rFonts w:ascii="Times New Roman" w:eastAsia="Calibri" w:hAnsi="Times New Roman" w:cs="Times New Roman"/>
          <w:color w:val="000000"/>
          <w:u w:color="000000"/>
          <w:bdr w:val="nil"/>
          <w:lang w:val="en-US"/>
        </w:rPr>
        <w:t xml:space="preserve"> was the main media for </w:t>
      </w:r>
      <w:proofErr w:type="gramStart"/>
      <w:r w:rsidRPr="001C6749">
        <w:rPr>
          <w:rFonts w:ascii="Times New Roman" w:eastAsia="Calibri" w:hAnsi="Times New Roman" w:cs="Times New Roman"/>
          <w:color w:val="000000"/>
          <w:u w:color="000000"/>
          <w:bdr w:val="nil"/>
          <w:lang w:val="en-US"/>
        </w:rPr>
        <w:t>the  in</w:t>
      </w:r>
      <w:proofErr w:type="gramEnd"/>
      <w:r w:rsidRPr="001C6749">
        <w:rPr>
          <w:rFonts w:ascii="Times New Roman" w:eastAsia="Calibri" w:hAnsi="Times New Roman" w:cs="Times New Roman"/>
          <w:color w:val="000000"/>
          <w:u w:color="000000"/>
          <w:bdr w:val="nil"/>
          <w:lang w:val="en-US"/>
        </w:rPr>
        <w:t xml:space="preserve"> vitro propagation </w:t>
      </w:r>
      <w:proofErr w:type="spellStart"/>
      <w:r w:rsidRPr="001C6749">
        <w:rPr>
          <w:rFonts w:ascii="Times New Roman" w:eastAsia="Calibri" w:hAnsi="Times New Roman" w:cs="Times New Roman"/>
          <w:color w:val="000000"/>
          <w:u w:color="000000"/>
          <w:bdr w:val="nil"/>
          <w:lang w:val="en-US"/>
        </w:rPr>
        <w:t>o</w:t>
      </w:r>
      <w:proofErr w:type="spellEnd"/>
      <w:r w:rsidRPr="001C6749">
        <w:rPr>
          <w:rFonts w:ascii="Times New Roman" w:eastAsia="Calibri" w:hAnsi="Times New Roman" w:cs="Times New Roman"/>
          <w:color w:val="000000"/>
          <w:u w:color="000000"/>
          <w:bdr w:val="nil"/>
          <w:lang w:val="en-US"/>
        </w:rPr>
        <w:t xml:space="preserve"> croton in the published literature</w:t>
      </w:r>
      <w:r w:rsidR="001D33FE">
        <w:rPr>
          <w:rFonts w:ascii="Times New Roman" w:eastAsia="Calibri" w:hAnsi="Times New Roman" w:cs="Times New Roman"/>
          <w:color w:val="000000"/>
          <w:u w:color="000000"/>
          <w:bdr w:val="nil"/>
          <w:lang w:val="en-US"/>
        </w:rPr>
        <w:t xml:space="preserve"> (</w:t>
      </w:r>
      <w:r w:rsidR="001D33FE" w:rsidRPr="001D33FE">
        <w:rPr>
          <w:rFonts w:ascii="Times New Roman" w:eastAsia="Calibri" w:hAnsi="Times New Roman" w:cs="Times New Roman"/>
          <w:color w:val="000000"/>
          <w:u w:color="000000"/>
          <w:bdr w:val="nil"/>
          <w:lang w:val="en-US"/>
        </w:rPr>
        <w:t>Shibata et al., 1996;</w:t>
      </w:r>
      <w:r w:rsidR="001D33FE">
        <w:rPr>
          <w:rFonts w:ascii="Times New Roman" w:eastAsia="Calibri" w:hAnsi="Times New Roman" w:cs="Times New Roman"/>
          <w:color w:val="000000"/>
          <w:u w:color="000000"/>
          <w:bdr w:val="nil"/>
          <w:lang w:val="en-US"/>
        </w:rPr>
        <w:t xml:space="preserve"> </w:t>
      </w:r>
      <w:proofErr w:type="spellStart"/>
      <w:r w:rsidR="001D33FE" w:rsidRPr="001D33FE">
        <w:rPr>
          <w:rFonts w:ascii="Times New Roman" w:eastAsia="Calibri" w:hAnsi="Times New Roman" w:cs="Times New Roman"/>
          <w:color w:val="000000"/>
          <w:u w:color="000000"/>
          <w:bdr w:val="nil"/>
          <w:lang w:val="en-US"/>
        </w:rPr>
        <w:t>Orlikowska</w:t>
      </w:r>
      <w:proofErr w:type="spellEnd"/>
      <w:r w:rsidR="001D33FE" w:rsidRPr="001D33FE">
        <w:rPr>
          <w:rFonts w:ascii="Times New Roman" w:eastAsia="Calibri" w:hAnsi="Times New Roman" w:cs="Times New Roman"/>
          <w:color w:val="000000"/>
          <w:u w:color="000000"/>
          <w:bdr w:val="nil"/>
          <w:lang w:val="en-US"/>
        </w:rPr>
        <w:t xml:space="preserve"> et al., </w:t>
      </w:r>
      <w:r w:rsidR="00E65C93">
        <w:rPr>
          <w:rFonts w:ascii="Times New Roman" w:eastAsia="Calibri" w:hAnsi="Times New Roman" w:cs="Times New Roman"/>
          <w:color w:val="000000"/>
          <w:u w:color="000000"/>
          <w:bdr w:val="nil"/>
          <w:lang w:val="en-US"/>
        </w:rPr>
        <w:t>2000;</w:t>
      </w:r>
      <w:r w:rsidR="00E65C93" w:rsidRPr="00E65C93">
        <w:rPr>
          <w:rFonts w:ascii="Times New Roman" w:eastAsia="Calibri" w:hAnsi="Times New Roman" w:cs="Times New Roman"/>
          <w:color w:val="000000"/>
          <w:u w:color="000000"/>
          <w:bdr w:val="nil"/>
          <w:lang w:val="en-US"/>
        </w:rPr>
        <w:t xml:space="preserve"> </w:t>
      </w:r>
      <w:r w:rsidR="00E65C93" w:rsidRPr="0082571A">
        <w:rPr>
          <w:rFonts w:ascii="Times New Roman" w:eastAsia="Calibri" w:hAnsi="Times New Roman" w:cs="Times New Roman"/>
          <w:color w:val="000000"/>
          <w:u w:color="000000"/>
          <w:bdr w:val="nil"/>
          <w:lang w:val="en-US"/>
        </w:rPr>
        <w:t>Nasib,20008</w:t>
      </w:r>
      <w:r w:rsidR="001D33FE">
        <w:rPr>
          <w:rFonts w:ascii="Times New Roman" w:eastAsia="Calibri" w:hAnsi="Times New Roman" w:cs="Times New Roman"/>
          <w:color w:val="000000"/>
          <w:u w:color="000000"/>
          <w:bdr w:val="nil"/>
          <w:lang w:val="en-US"/>
        </w:rPr>
        <w:t>)</w:t>
      </w:r>
      <w:r w:rsidRPr="001C6749">
        <w:rPr>
          <w:rFonts w:ascii="Times New Roman" w:eastAsia="Calibri" w:hAnsi="Times New Roman" w:cs="Times New Roman"/>
          <w:color w:val="000000"/>
          <w:u w:color="000000"/>
          <w:bdr w:val="nil"/>
          <w:lang w:val="en-US"/>
        </w:rPr>
        <w:t>.</w:t>
      </w:r>
      <w:r w:rsidR="00D74F85" w:rsidRPr="00D74F85">
        <w:t xml:space="preserve"> </w:t>
      </w:r>
      <w:r w:rsidR="00D74F85" w:rsidRPr="00D74F85">
        <w:rPr>
          <w:rFonts w:ascii="Times New Roman" w:eastAsia="Calibri" w:hAnsi="Times New Roman" w:cs="Times New Roman"/>
          <w:color w:val="000000"/>
          <w:u w:color="000000"/>
          <w:bdr w:val="nil"/>
          <w:lang w:val="en-US"/>
        </w:rPr>
        <w:t>In our study, callus formation rates ranged from 0% to 100%. It was determined that M10, M11 and M12 media were not suitable for callus culture in croton.</w:t>
      </w:r>
      <w:r w:rsidR="00D74F85" w:rsidRPr="00D74F85">
        <w:t xml:space="preserve"> </w:t>
      </w:r>
      <w:r w:rsidR="00D74F85" w:rsidRPr="00D74F85">
        <w:rPr>
          <w:rFonts w:ascii="Times New Roman" w:eastAsia="Calibri" w:hAnsi="Times New Roman" w:cs="Times New Roman"/>
          <w:color w:val="000000"/>
          <w:u w:color="000000"/>
          <w:bdr w:val="nil"/>
          <w:lang w:val="en-US"/>
        </w:rPr>
        <w:t xml:space="preserve">This showed that the high rate </w:t>
      </w:r>
      <w:r w:rsidR="00D74F85">
        <w:rPr>
          <w:rFonts w:ascii="Times New Roman" w:eastAsia="Calibri" w:hAnsi="Times New Roman" w:cs="Times New Roman"/>
          <w:color w:val="000000"/>
          <w:u w:color="000000"/>
          <w:bdr w:val="nil"/>
          <w:lang w:val="en-US"/>
        </w:rPr>
        <w:t xml:space="preserve">of </w:t>
      </w:r>
      <w:proofErr w:type="spellStart"/>
      <w:r w:rsidR="00D74F85">
        <w:rPr>
          <w:rFonts w:ascii="Times New Roman" w:eastAsia="Calibri" w:hAnsi="Times New Roman" w:cs="Times New Roman"/>
          <w:color w:val="000000"/>
          <w:u w:color="000000"/>
          <w:bdr w:val="nil"/>
          <w:lang w:val="en-US"/>
        </w:rPr>
        <w:t>cytokinin</w:t>
      </w:r>
      <w:proofErr w:type="spellEnd"/>
      <w:r w:rsidR="00D74F85">
        <w:rPr>
          <w:rFonts w:ascii="Times New Roman" w:eastAsia="Calibri" w:hAnsi="Times New Roman" w:cs="Times New Roman"/>
          <w:color w:val="000000"/>
          <w:u w:color="000000"/>
          <w:bdr w:val="nil"/>
          <w:lang w:val="en-US"/>
        </w:rPr>
        <w:t xml:space="preserve"> in nutrient medium</w:t>
      </w:r>
      <w:r w:rsidR="00D74F85" w:rsidRPr="00D74F85">
        <w:rPr>
          <w:rFonts w:ascii="Times New Roman" w:eastAsia="Calibri" w:hAnsi="Times New Roman" w:cs="Times New Roman"/>
          <w:color w:val="000000"/>
          <w:u w:color="000000"/>
          <w:bdr w:val="nil"/>
          <w:lang w:val="en-US"/>
        </w:rPr>
        <w:t xml:space="preserve"> negatively affects the induction of callus.</w:t>
      </w:r>
    </w:p>
    <w:p w:rsidR="001C6749" w:rsidRDefault="00DD526A" w:rsidP="006B3BFD">
      <w:pPr>
        <w:pBdr>
          <w:top w:val="nil"/>
          <w:left w:val="nil"/>
          <w:bottom w:val="nil"/>
          <w:right w:val="nil"/>
          <w:between w:val="nil"/>
          <w:bar w:val="nil"/>
        </w:pBdr>
        <w:spacing w:after="0" w:line="360" w:lineRule="auto"/>
        <w:jc w:val="both"/>
        <w:rPr>
          <w:rFonts w:ascii="Times New Roman" w:eastAsia="Calibri" w:hAnsi="Times New Roman" w:cs="Times New Roman"/>
          <w:color w:val="000000"/>
          <w:u w:color="000000"/>
          <w:bdr w:val="nil"/>
          <w:lang w:val="en-US"/>
        </w:rPr>
      </w:pPr>
      <w:r w:rsidRPr="00DD526A">
        <w:rPr>
          <w:rFonts w:ascii="Times New Roman" w:eastAsia="Calibri" w:hAnsi="Times New Roman" w:cs="Times New Roman"/>
          <w:color w:val="000000"/>
          <w:u w:color="000000"/>
          <w:bdr w:val="nil"/>
          <w:lang w:val="en-US"/>
        </w:rPr>
        <w:lastRenderedPageBreak/>
        <w:t xml:space="preserve">Our results indicated that </w:t>
      </w:r>
      <w:r w:rsidRPr="0082571A">
        <w:rPr>
          <w:rFonts w:ascii="Times New Roman" w:eastAsia="Calibri" w:hAnsi="Times New Roman" w:cs="Times New Roman"/>
          <w:color w:val="000000"/>
          <w:u w:color="000000"/>
          <w:bdr w:val="nil"/>
          <w:lang w:val="en-US"/>
        </w:rPr>
        <w:t>M8</w:t>
      </w:r>
      <w:r w:rsidR="0057208D">
        <w:rPr>
          <w:rFonts w:ascii="Times New Roman" w:eastAsia="Calibri" w:hAnsi="Times New Roman" w:cs="Times New Roman"/>
          <w:color w:val="000000"/>
          <w:u w:color="000000"/>
          <w:bdr w:val="nil"/>
          <w:lang w:val="en-US"/>
        </w:rPr>
        <w:t xml:space="preserve"> </w:t>
      </w:r>
      <w:r w:rsidRPr="0082571A">
        <w:rPr>
          <w:rFonts w:ascii="Times New Roman" w:eastAsia="Calibri" w:hAnsi="Times New Roman" w:cs="Times New Roman"/>
          <w:color w:val="000000"/>
          <w:u w:color="000000"/>
          <w:bdr w:val="nil"/>
          <w:lang w:val="en-US"/>
        </w:rPr>
        <w:t>(1.0 mg/L NAA+2</w:t>
      </w:r>
      <w:proofErr w:type="gramStart"/>
      <w:r w:rsidRPr="0082571A">
        <w:rPr>
          <w:rFonts w:ascii="Times New Roman" w:eastAsia="Calibri" w:hAnsi="Times New Roman" w:cs="Times New Roman"/>
          <w:color w:val="000000"/>
          <w:u w:color="000000"/>
          <w:bdr w:val="nil"/>
          <w:lang w:val="en-US"/>
        </w:rPr>
        <w:t>,0</w:t>
      </w:r>
      <w:proofErr w:type="gramEnd"/>
      <w:r w:rsidRPr="0082571A">
        <w:rPr>
          <w:rFonts w:ascii="Times New Roman" w:eastAsia="Calibri" w:hAnsi="Times New Roman" w:cs="Times New Roman"/>
          <w:color w:val="000000"/>
          <w:u w:color="000000"/>
          <w:bdr w:val="nil"/>
          <w:lang w:val="en-US"/>
        </w:rPr>
        <w:t xml:space="preserve"> mg/L BAP)</w:t>
      </w:r>
      <w:r w:rsidR="00614AEC">
        <w:rPr>
          <w:rFonts w:ascii="Times New Roman" w:eastAsia="Calibri" w:hAnsi="Times New Roman" w:cs="Times New Roman"/>
          <w:color w:val="000000"/>
          <w:u w:color="000000"/>
          <w:bdr w:val="nil"/>
          <w:lang w:val="en-US"/>
        </w:rPr>
        <w:t xml:space="preserve"> and </w:t>
      </w:r>
      <w:r w:rsidRPr="0082571A">
        <w:rPr>
          <w:rFonts w:ascii="Times New Roman" w:eastAsia="Calibri" w:hAnsi="Times New Roman" w:cs="Times New Roman"/>
          <w:color w:val="000000"/>
          <w:u w:color="000000"/>
          <w:bdr w:val="nil"/>
          <w:lang w:val="en-US"/>
        </w:rPr>
        <w:t>M9</w:t>
      </w:r>
      <w:r w:rsidR="00614AEC">
        <w:rPr>
          <w:rFonts w:ascii="Times New Roman" w:eastAsia="Calibri" w:hAnsi="Times New Roman" w:cs="Times New Roman"/>
          <w:color w:val="000000"/>
          <w:u w:color="000000"/>
          <w:bdr w:val="nil"/>
          <w:lang w:val="en-US"/>
        </w:rPr>
        <w:t xml:space="preserve"> </w:t>
      </w:r>
      <w:r w:rsidRPr="0082571A">
        <w:rPr>
          <w:rFonts w:ascii="Times New Roman" w:eastAsia="Calibri" w:hAnsi="Times New Roman" w:cs="Times New Roman"/>
          <w:color w:val="000000"/>
          <w:u w:color="000000"/>
          <w:bdr w:val="nil"/>
          <w:lang w:val="en-US"/>
        </w:rPr>
        <w:t>(0,5 mg/L Kinetin+1,0 mg/L BAP),</w:t>
      </w:r>
      <w:r>
        <w:rPr>
          <w:rFonts w:ascii="Times New Roman" w:eastAsia="Calibri" w:hAnsi="Times New Roman" w:cs="Times New Roman"/>
          <w:color w:val="000000"/>
          <w:u w:color="000000"/>
          <w:bdr w:val="nil"/>
          <w:lang w:val="en-US"/>
        </w:rPr>
        <w:t xml:space="preserve">  </w:t>
      </w:r>
      <w:r w:rsidRPr="00DD526A">
        <w:rPr>
          <w:rFonts w:ascii="Times New Roman" w:eastAsia="Calibri" w:hAnsi="Times New Roman" w:cs="Times New Roman"/>
          <w:color w:val="000000"/>
          <w:u w:color="000000"/>
          <w:bdr w:val="nil"/>
          <w:lang w:val="en-US"/>
        </w:rPr>
        <w:t xml:space="preserve"> is the optimal medium for the </w:t>
      </w:r>
      <w:r>
        <w:rPr>
          <w:rFonts w:ascii="Times New Roman" w:eastAsia="Calibri" w:hAnsi="Times New Roman" w:cs="Times New Roman"/>
          <w:color w:val="000000"/>
          <w:u w:color="000000"/>
          <w:bdr w:val="nil"/>
          <w:lang w:val="en-US"/>
        </w:rPr>
        <w:t xml:space="preserve">callus weight </w:t>
      </w:r>
      <w:r w:rsidRPr="00DD526A">
        <w:rPr>
          <w:rFonts w:ascii="Times New Roman" w:eastAsia="Calibri" w:hAnsi="Times New Roman" w:cs="Times New Roman"/>
          <w:color w:val="000000"/>
          <w:u w:color="000000"/>
          <w:bdr w:val="nil"/>
          <w:lang w:val="en-US"/>
        </w:rPr>
        <w:t xml:space="preserve"> of the </w:t>
      </w:r>
      <w:r w:rsidRPr="0082571A">
        <w:rPr>
          <w:rFonts w:ascii="Times New Roman" w:eastAsia="Calibri" w:hAnsi="Times New Roman" w:cs="Times New Roman"/>
          <w:i/>
          <w:iCs/>
          <w:color w:val="000000"/>
          <w:u w:color="000000"/>
          <w:bdr w:val="nil"/>
          <w:lang w:val="it-IT"/>
        </w:rPr>
        <w:t>Codiaeum variegatum sp</w:t>
      </w:r>
      <w:r w:rsidR="00C80B18">
        <w:rPr>
          <w:rFonts w:ascii="Times New Roman" w:eastAsia="Calibri" w:hAnsi="Times New Roman" w:cs="Times New Roman"/>
          <w:i/>
          <w:iCs/>
          <w:color w:val="000000"/>
          <w:u w:color="000000"/>
          <w:bdr w:val="nil"/>
          <w:lang w:val="it-IT"/>
        </w:rPr>
        <w:t>.</w:t>
      </w:r>
    </w:p>
    <w:p w:rsidR="00D544E0" w:rsidRDefault="00C80B18" w:rsidP="006B3BFD">
      <w:pPr>
        <w:pBdr>
          <w:top w:val="nil"/>
          <w:left w:val="nil"/>
          <w:bottom w:val="nil"/>
          <w:right w:val="nil"/>
          <w:between w:val="nil"/>
          <w:bar w:val="nil"/>
        </w:pBdr>
        <w:spacing w:after="0" w:line="360" w:lineRule="auto"/>
        <w:jc w:val="both"/>
        <w:rPr>
          <w:rFonts w:ascii="Times New Roman" w:eastAsia="Times New Roman" w:hAnsi="Times New Roman" w:cs="Times New Roman"/>
          <w:color w:val="000000"/>
          <w:u w:color="000000"/>
          <w:bdr w:val="nil"/>
          <w:lang w:val="en-US"/>
        </w:rPr>
      </w:pPr>
      <w:r w:rsidRPr="00C80B18">
        <w:rPr>
          <w:rFonts w:ascii="Times New Roman" w:eastAsia="Times New Roman" w:hAnsi="Times New Roman" w:cs="Times New Roman"/>
          <w:color w:val="000000"/>
          <w:u w:color="000000"/>
          <w:bdr w:val="nil"/>
          <w:lang w:val="en-US"/>
        </w:rPr>
        <w:t xml:space="preserve">Each callus cultures need </w:t>
      </w:r>
      <w:proofErr w:type="spellStart"/>
      <w:r w:rsidRPr="00C80B18">
        <w:rPr>
          <w:rFonts w:ascii="Times New Roman" w:eastAsia="Times New Roman" w:hAnsi="Times New Roman" w:cs="Times New Roman"/>
          <w:color w:val="000000"/>
          <w:u w:color="000000"/>
          <w:bdr w:val="nil"/>
          <w:lang w:val="en-US"/>
        </w:rPr>
        <w:t>diffrent</w:t>
      </w:r>
      <w:proofErr w:type="spellEnd"/>
      <w:r w:rsidRPr="00C80B18">
        <w:rPr>
          <w:rFonts w:ascii="Times New Roman" w:eastAsia="Times New Roman" w:hAnsi="Times New Roman" w:cs="Times New Roman"/>
          <w:color w:val="000000"/>
          <w:u w:color="000000"/>
          <w:bdr w:val="nil"/>
          <w:lang w:val="en-US"/>
        </w:rPr>
        <w:t xml:space="preserve"> growth conditions. While Some callus </w:t>
      </w:r>
      <w:proofErr w:type="spellStart"/>
      <w:r w:rsidRPr="00C80B18">
        <w:rPr>
          <w:rFonts w:ascii="Times New Roman" w:eastAsia="Times New Roman" w:hAnsi="Times New Roman" w:cs="Times New Roman"/>
          <w:color w:val="000000"/>
          <w:u w:color="000000"/>
          <w:bdr w:val="nil"/>
          <w:lang w:val="en-US"/>
        </w:rPr>
        <w:t>culteres</w:t>
      </w:r>
      <w:proofErr w:type="spellEnd"/>
      <w:r w:rsidRPr="00C80B18">
        <w:rPr>
          <w:rFonts w:ascii="Times New Roman" w:eastAsia="Times New Roman" w:hAnsi="Times New Roman" w:cs="Times New Roman"/>
          <w:color w:val="000000"/>
          <w:u w:color="000000"/>
          <w:bdr w:val="nil"/>
          <w:lang w:val="en-US"/>
        </w:rPr>
        <w:t xml:space="preserve"> want day-</w:t>
      </w:r>
      <w:proofErr w:type="spellStart"/>
      <w:r w:rsidRPr="00C80B18">
        <w:rPr>
          <w:rFonts w:ascii="Times New Roman" w:eastAsia="Times New Roman" w:hAnsi="Times New Roman" w:cs="Times New Roman"/>
          <w:color w:val="000000"/>
          <w:u w:color="000000"/>
          <w:bdr w:val="nil"/>
          <w:lang w:val="en-US"/>
        </w:rPr>
        <w:t>nigt</w:t>
      </w:r>
      <w:proofErr w:type="spellEnd"/>
      <w:r w:rsidRPr="00C80B18">
        <w:rPr>
          <w:rFonts w:ascii="Times New Roman" w:eastAsia="Times New Roman" w:hAnsi="Times New Roman" w:cs="Times New Roman"/>
          <w:color w:val="000000"/>
          <w:u w:color="000000"/>
          <w:bdr w:val="nil"/>
          <w:lang w:val="en-US"/>
        </w:rPr>
        <w:t xml:space="preserve"> conditions </w:t>
      </w:r>
      <w:proofErr w:type="gramStart"/>
      <w:r w:rsidRPr="00C80B18">
        <w:rPr>
          <w:rFonts w:ascii="Times New Roman" w:eastAsia="Times New Roman" w:hAnsi="Times New Roman" w:cs="Times New Roman"/>
          <w:color w:val="000000"/>
          <w:u w:color="000000"/>
          <w:bdr w:val="nil"/>
          <w:lang w:val="en-US"/>
        </w:rPr>
        <w:t>others  grow</w:t>
      </w:r>
      <w:proofErr w:type="gramEnd"/>
      <w:r w:rsidRPr="00C80B18">
        <w:rPr>
          <w:rFonts w:ascii="Times New Roman" w:eastAsia="Times New Roman" w:hAnsi="Times New Roman" w:cs="Times New Roman"/>
          <w:color w:val="000000"/>
          <w:u w:color="000000"/>
          <w:bdr w:val="nil"/>
          <w:lang w:val="en-US"/>
        </w:rPr>
        <w:t xml:space="preserve"> under dark conditions.</w:t>
      </w:r>
      <w:r w:rsidR="00B2071A">
        <w:rPr>
          <w:rFonts w:ascii="Times New Roman" w:eastAsia="Times New Roman" w:hAnsi="Times New Roman" w:cs="Times New Roman"/>
          <w:color w:val="000000"/>
          <w:u w:color="000000"/>
          <w:bdr w:val="nil"/>
          <w:lang w:val="en-US"/>
        </w:rPr>
        <w:t xml:space="preserve"> </w:t>
      </w:r>
      <w:r w:rsidR="006B3BFD" w:rsidRPr="00EE0710">
        <w:rPr>
          <w:rFonts w:ascii="Times New Roman" w:eastAsia="Times New Roman" w:hAnsi="Times New Roman" w:cs="Times New Roman"/>
          <w:color w:val="000000"/>
          <w:u w:color="000000"/>
          <w:bdr w:val="nil"/>
          <w:lang w:val="en-US"/>
        </w:rPr>
        <w:t>Many studies have indicated that incubation of cultures in dark conditions has a positive effect on plant regeneration</w:t>
      </w:r>
      <w:r w:rsidR="006416F9" w:rsidRPr="00EE0710">
        <w:rPr>
          <w:rFonts w:ascii="Times New Roman" w:eastAsia="Times New Roman" w:hAnsi="Times New Roman" w:cs="Times New Roman"/>
          <w:color w:val="000000"/>
          <w:u w:color="000000"/>
          <w:bdr w:val="nil"/>
          <w:lang w:val="en-US"/>
        </w:rPr>
        <w:t xml:space="preserve"> (</w:t>
      </w:r>
      <w:proofErr w:type="spellStart"/>
      <w:r w:rsidR="006416F9" w:rsidRPr="00EE0710">
        <w:rPr>
          <w:rFonts w:ascii="Times New Roman" w:eastAsia="Times New Roman" w:hAnsi="Times New Roman" w:cs="Times New Roman"/>
          <w:color w:val="000000"/>
          <w:u w:color="000000"/>
          <w:bdr w:val="nil"/>
          <w:lang w:val="en-US"/>
        </w:rPr>
        <w:t>Kuehnle</w:t>
      </w:r>
      <w:proofErr w:type="spellEnd"/>
      <w:r w:rsidR="006416F9" w:rsidRPr="00EE0710">
        <w:rPr>
          <w:rFonts w:ascii="Times New Roman" w:eastAsia="Times New Roman" w:hAnsi="Times New Roman" w:cs="Times New Roman"/>
          <w:color w:val="000000"/>
          <w:u w:color="000000"/>
          <w:bdr w:val="nil"/>
          <w:lang w:val="en-US"/>
        </w:rPr>
        <w:t xml:space="preserve"> et al, 1992;</w:t>
      </w:r>
      <w:r w:rsidR="00D544E0" w:rsidRPr="00EE0710">
        <w:rPr>
          <w:rFonts w:ascii="Times New Roman" w:eastAsia="Times New Roman" w:hAnsi="Times New Roman" w:cs="Times New Roman"/>
          <w:color w:val="000000"/>
          <w:u w:color="000000"/>
          <w:bdr w:val="nil"/>
          <w:lang w:val="en-US"/>
        </w:rPr>
        <w:t xml:space="preserve"> </w:t>
      </w:r>
      <w:proofErr w:type="spellStart"/>
      <w:r w:rsidR="009D4D35" w:rsidRPr="00EE0710">
        <w:rPr>
          <w:rFonts w:ascii="Times New Roman" w:hAnsi="Times New Roman" w:cs="Times New Roman"/>
        </w:rPr>
        <w:t>Rutkowska-</w:t>
      </w:r>
      <w:proofErr w:type="gramStart"/>
      <w:r w:rsidR="009D4D35" w:rsidRPr="00EE0710">
        <w:rPr>
          <w:rFonts w:ascii="Times New Roman" w:hAnsi="Times New Roman" w:cs="Times New Roman"/>
        </w:rPr>
        <w:t>Krause</w:t>
      </w:r>
      <w:proofErr w:type="spellEnd"/>
      <w:r w:rsidR="009D4D35" w:rsidRPr="00EE0710">
        <w:rPr>
          <w:rFonts w:ascii="Times New Roman" w:eastAsia="Times New Roman" w:hAnsi="Times New Roman" w:cs="Times New Roman"/>
          <w:color w:val="000000"/>
          <w:u w:color="000000"/>
          <w:bdr w:val="nil"/>
          <w:lang w:val="en-US"/>
        </w:rPr>
        <w:t xml:space="preserve">  et</w:t>
      </w:r>
      <w:proofErr w:type="gramEnd"/>
      <w:r w:rsidR="009D4D35" w:rsidRPr="00EE0710">
        <w:rPr>
          <w:rFonts w:ascii="Times New Roman" w:eastAsia="Times New Roman" w:hAnsi="Times New Roman" w:cs="Times New Roman"/>
          <w:color w:val="000000"/>
          <w:u w:color="000000"/>
          <w:bdr w:val="nil"/>
          <w:lang w:val="en-US"/>
        </w:rPr>
        <w:t xml:space="preserve"> al,2003;</w:t>
      </w:r>
      <w:r w:rsidR="008B08D3" w:rsidRPr="00EE0710">
        <w:rPr>
          <w:rFonts w:ascii="Times New Roman" w:eastAsia="Times New Roman" w:hAnsi="Times New Roman" w:cs="Times New Roman"/>
          <w:color w:val="000000"/>
          <w:u w:color="000000"/>
          <w:bdr w:val="nil"/>
          <w:lang w:val="en-US"/>
        </w:rPr>
        <w:t>Gao et al,2011</w:t>
      </w:r>
      <w:r w:rsidR="009D4D35" w:rsidRPr="00EE0710">
        <w:rPr>
          <w:rFonts w:ascii="Times New Roman" w:eastAsia="Times New Roman" w:hAnsi="Times New Roman" w:cs="Times New Roman"/>
          <w:color w:val="000000"/>
          <w:u w:color="000000"/>
          <w:bdr w:val="nil"/>
          <w:lang w:val="en-US"/>
        </w:rPr>
        <w:t>).</w:t>
      </w:r>
      <w:r w:rsidR="00D544E0">
        <w:rPr>
          <w:rFonts w:ascii="Times New Roman" w:eastAsia="Times New Roman" w:hAnsi="Times New Roman" w:cs="Times New Roman"/>
          <w:color w:val="000000"/>
          <w:u w:color="000000"/>
          <w:bdr w:val="nil"/>
          <w:lang w:val="en-US"/>
        </w:rPr>
        <w:t xml:space="preserve">  </w:t>
      </w:r>
    </w:p>
    <w:p w:rsidR="004342C8" w:rsidRPr="00C053F4" w:rsidRDefault="00C053F4" w:rsidP="006B3BFD">
      <w:pPr>
        <w:pBdr>
          <w:top w:val="nil"/>
          <w:left w:val="nil"/>
          <w:bottom w:val="nil"/>
          <w:right w:val="nil"/>
          <w:between w:val="nil"/>
          <w:bar w:val="nil"/>
        </w:pBdr>
        <w:spacing w:after="0" w:line="360" w:lineRule="auto"/>
        <w:jc w:val="both"/>
        <w:rPr>
          <w:rFonts w:ascii="Times New Roman" w:eastAsia="Times New Roman" w:hAnsi="Times New Roman" w:cs="Times New Roman"/>
          <w:color w:val="000000"/>
          <w:u w:color="000000"/>
          <w:bdr w:val="nil"/>
          <w:lang w:val="en-US"/>
        </w:rPr>
      </w:pPr>
      <w:r w:rsidRPr="00D52CF3">
        <w:rPr>
          <w:rFonts w:ascii="Times New Roman" w:eastAsia="Calibri" w:hAnsi="Times New Roman" w:cs="Times New Roman"/>
          <w:color w:val="000000"/>
          <w:u w:color="000000"/>
          <w:bdr w:val="nil"/>
          <w:lang w:val="en-US"/>
        </w:rPr>
        <w:t>It was significantly effective to keep the explants planted in M4 medium in the dark.</w:t>
      </w:r>
    </w:p>
    <w:p w:rsidR="0082571A" w:rsidRDefault="00D52CF3" w:rsidP="00AF79C7">
      <w:pPr>
        <w:pBdr>
          <w:top w:val="nil"/>
          <w:left w:val="nil"/>
          <w:bottom w:val="nil"/>
          <w:right w:val="nil"/>
          <w:between w:val="nil"/>
          <w:bar w:val="nil"/>
        </w:pBdr>
        <w:spacing w:after="0"/>
        <w:jc w:val="both"/>
        <w:rPr>
          <w:rFonts w:ascii="Times New Roman" w:eastAsia="Calibri" w:hAnsi="Times New Roman" w:cs="Times New Roman"/>
          <w:color w:val="000000"/>
          <w:u w:color="000000"/>
          <w:bdr w:val="nil"/>
          <w:lang w:val="en-US"/>
        </w:rPr>
      </w:pPr>
      <w:r w:rsidRPr="00D52CF3">
        <w:rPr>
          <w:rFonts w:ascii="Times New Roman" w:eastAsia="Calibri" w:hAnsi="Times New Roman" w:cs="Times New Roman"/>
          <w:color w:val="000000"/>
          <w:u w:color="000000"/>
          <w:bdr w:val="nil"/>
          <w:lang w:val="en-US"/>
        </w:rPr>
        <w:t xml:space="preserve">As a result, callus formation rates vary between 0% and 100%. The highest rate of callus formation was observed in M2, M6, M7, M8 environments. The highest callus diameter was measured in M9 medium (1 </w:t>
      </w:r>
      <w:r w:rsidR="006E7DAD">
        <w:rPr>
          <w:rFonts w:ascii="Times New Roman" w:eastAsia="Calibri" w:hAnsi="Times New Roman" w:cs="Times New Roman"/>
          <w:color w:val="000000"/>
          <w:u w:color="000000"/>
          <w:bdr w:val="nil"/>
          <w:lang w:val="en-US"/>
        </w:rPr>
        <w:t>c</w:t>
      </w:r>
      <w:r w:rsidRPr="00D52CF3">
        <w:rPr>
          <w:rFonts w:ascii="Times New Roman" w:eastAsia="Calibri" w:hAnsi="Times New Roman" w:cs="Times New Roman"/>
          <w:color w:val="000000"/>
          <w:u w:color="000000"/>
          <w:bdr w:val="nil"/>
          <w:lang w:val="en-US"/>
        </w:rPr>
        <w:t>m). Callus weight varies between 29.80 and 444.60 mg. It was determined that the medium prepared with NAA was more successful than the other mediums in terms of plant growth regulators.</w:t>
      </w:r>
    </w:p>
    <w:p w:rsidR="0082571A" w:rsidRDefault="0082571A" w:rsidP="00AF79C7">
      <w:pPr>
        <w:pBdr>
          <w:top w:val="nil"/>
          <w:left w:val="nil"/>
          <w:bottom w:val="nil"/>
          <w:right w:val="nil"/>
          <w:between w:val="nil"/>
          <w:bar w:val="nil"/>
        </w:pBdr>
        <w:spacing w:after="0"/>
        <w:ind w:left="709" w:hanging="709"/>
        <w:jc w:val="both"/>
        <w:rPr>
          <w:rFonts w:ascii="Times New Roman" w:eastAsia="Calibri" w:hAnsi="Times New Roman" w:cs="Times New Roman"/>
          <w:color w:val="000000"/>
          <w:u w:color="000000"/>
          <w:bdr w:val="nil"/>
          <w:lang w:val="en-US"/>
        </w:rPr>
      </w:pPr>
    </w:p>
    <w:p w:rsidR="0082571A" w:rsidRDefault="0082571A" w:rsidP="006B3BFD">
      <w:pPr>
        <w:pBdr>
          <w:top w:val="nil"/>
          <w:left w:val="nil"/>
          <w:bottom w:val="nil"/>
          <w:right w:val="nil"/>
          <w:between w:val="nil"/>
          <w:bar w:val="nil"/>
        </w:pBdr>
        <w:spacing w:after="0"/>
        <w:ind w:left="709" w:hanging="709"/>
        <w:rPr>
          <w:rFonts w:ascii="Times New Roman" w:eastAsia="Calibri" w:hAnsi="Times New Roman" w:cs="Times New Roman"/>
          <w:color w:val="000000"/>
          <w:u w:color="000000"/>
          <w:bdr w:val="nil"/>
          <w:lang w:val="en-US"/>
        </w:rPr>
      </w:pPr>
    </w:p>
    <w:p w:rsidR="0082571A" w:rsidRDefault="0082571A" w:rsidP="006B3BFD">
      <w:pPr>
        <w:pBdr>
          <w:top w:val="nil"/>
          <w:left w:val="nil"/>
          <w:bottom w:val="nil"/>
          <w:right w:val="nil"/>
          <w:between w:val="nil"/>
          <w:bar w:val="nil"/>
        </w:pBdr>
        <w:spacing w:after="0"/>
        <w:ind w:left="709" w:hanging="709"/>
        <w:rPr>
          <w:rFonts w:ascii="Times New Roman" w:eastAsia="Calibri" w:hAnsi="Times New Roman" w:cs="Times New Roman"/>
          <w:color w:val="000000"/>
          <w:u w:color="000000"/>
          <w:bdr w:val="nil"/>
          <w:lang w:val="en-US"/>
        </w:rPr>
      </w:pPr>
    </w:p>
    <w:p w:rsidR="0082571A" w:rsidRDefault="0082571A" w:rsidP="006B3BFD">
      <w:pPr>
        <w:pBdr>
          <w:top w:val="nil"/>
          <w:left w:val="nil"/>
          <w:bottom w:val="nil"/>
          <w:right w:val="nil"/>
          <w:between w:val="nil"/>
          <w:bar w:val="nil"/>
        </w:pBdr>
        <w:spacing w:after="0"/>
        <w:ind w:left="709" w:hanging="709"/>
        <w:rPr>
          <w:rFonts w:ascii="Times New Roman" w:eastAsia="Calibri" w:hAnsi="Times New Roman" w:cs="Times New Roman"/>
          <w:color w:val="000000"/>
          <w:u w:color="000000"/>
          <w:bdr w:val="nil"/>
          <w:lang w:val="en-US"/>
        </w:rPr>
      </w:pPr>
    </w:p>
    <w:p w:rsidR="0082571A" w:rsidRPr="00493BE7" w:rsidRDefault="0082571A" w:rsidP="0082571A">
      <w:pPr>
        <w:autoSpaceDE w:val="0"/>
        <w:autoSpaceDN w:val="0"/>
        <w:adjustRightInd w:val="0"/>
        <w:spacing w:after="0"/>
        <w:ind w:left="709" w:hanging="709"/>
        <w:rPr>
          <w:rFonts w:ascii="Times New Roman" w:eastAsia="TimesNewRoman" w:hAnsi="Times New Roman" w:cs="Times New Roman"/>
          <w:sz w:val="24"/>
          <w:szCs w:val="24"/>
        </w:rPr>
      </w:pPr>
      <w:proofErr w:type="spellStart"/>
      <w:r w:rsidRPr="00493BE7">
        <w:rPr>
          <w:rFonts w:ascii="Times New Roman" w:eastAsia="TimesNewRoman" w:hAnsi="Times New Roman" w:cs="Times New Roman"/>
          <w:sz w:val="24"/>
          <w:szCs w:val="24"/>
        </w:rPr>
        <w:t>Fig</w:t>
      </w:r>
      <w:proofErr w:type="spellEnd"/>
      <w:r w:rsidRPr="00493BE7">
        <w:rPr>
          <w:rFonts w:ascii="Times New Roman" w:eastAsia="TimesNewRoman" w:hAnsi="Times New Roman" w:cs="Times New Roman"/>
          <w:sz w:val="24"/>
          <w:szCs w:val="24"/>
        </w:rPr>
        <w:t xml:space="preserve"> 1. </w:t>
      </w:r>
      <w:proofErr w:type="spellStart"/>
      <w:r>
        <w:rPr>
          <w:rFonts w:ascii="Times New Roman" w:eastAsia="TimesNewRoman" w:hAnsi="Times New Roman" w:cs="Times New Roman"/>
          <w:sz w:val="24"/>
          <w:szCs w:val="24"/>
        </w:rPr>
        <w:t>Callus</w:t>
      </w:r>
      <w:proofErr w:type="spellEnd"/>
      <w:r>
        <w:rPr>
          <w:rFonts w:ascii="Times New Roman" w:eastAsia="TimesNewRoman" w:hAnsi="Times New Roman" w:cs="Times New Roman"/>
          <w:sz w:val="24"/>
          <w:szCs w:val="24"/>
        </w:rPr>
        <w:t xml:space="preserve"> </w:t>
      </w:r>
      <w:proofErr w:type="spellStart"/>
      <w:r>
        <w:rPr>
          <w:rFonts w:ascii="Times New Roman" w:eastAsia="TimesNewRoman" w:hAnsi="Times New Roman" w:cs="Times New Roman"/>
          <w:sz w:val="24"/>
          <w:szCs w:val="24"/>
        </w:rPr>
        <w:t>induction</w:t>
      </w:r>
      <w:proofErr w:type="spellEnd"/>
    </w:p>
    <w:p w:rsidR="0082571A" w:rsidRPr="0082571A" w:rsidRDefault="0082571A" w:rsidP="0082571A">
      <w:pPr>
        <w:pBdr>
          <w:top w:val="nil"/>
          <w:left w:val="nil"/>
          <w:bottom w:val="nil"/>
          <w:right w:val="nil"/>
          <w:between w:val="nil"/>
          <w:bar w:val="nil"/>
        </w:pBdr>
        <w:spacing w:after="0"/>
        <w:ind w:left="709" w:hanging="709"/>
        <w:rPr>
          <w:rFonts w:ascii="Times New Roman" w:eastAsia="Times New Roman" w:hAnsi="Times New Roman" w:cs="Times New Roman"/>
          <w:color w:val="000000"/>
          <w:u w:color="000000"/>
          <w:bdr w:val="nil"/>
          <w:lang w:val="en-US"/>
        </w:rPr>
      </w:pPr>
    </w:p>
    <w:p w:rsidR="007E04AE" w:rsidRDefault="0082571A">
      <w:r w:rsidRPr="00493BE7">
        <w:rPr>
          <w:rFonts w:ascii="Times New Roman" w:hAnsi="Times New Roman" w:cs="Times New Roman"/>
          <w:noProof/>
          <w:lang w:eastAsia="tr-TR"/>
        </w:rPr>
        <w:drawing>
          <wp:inline distT="0" distB="0" distL="0" distR="0" wp14:anchorId="16CEDB2C" wp14:editId="18BAD405">
            <wp:extent cx="4572000" cy="2743200"/>
            <wp:effectExtent l="0" t="0" r="19050" b="19050"/>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2571A" w:rsidRDefault="0082571A"/>
    <w:p w:rsidR="0082571A" w:rsidRDefault="0082571A" w:rsidP="0082571A">
      <w:pPr>
        <w:autoSpaceDE w:val="0"/>
        <w:autoSpaceDN w:val="0"/>
        <w:adjustRightInd w:val="0"/>
        <w:spacing w:after="0"/>
        <w:ind w:left="709" w:hanging="709"/>
        <w:rPr>
          <w:rFonts w:ascii="Times New Roman" w:eastAsia="TimesNewRoman" w:hAnsi="Times New Roman" w:cs="Times New Roman"/>
          <w:sz w:val="24"/>
          <w:szCs w:val="24"/>
        </w:rPr>
      </w:pPr>
      <w:proofErr w:type="spellStart"/>
      <w:r w:rsidRPr="00493BE7">
        <w:rPr>
          <w:rFonts w:ascii="Times New Roman" w:eastAsia="TimesNewRoman" w:hAnsi="Times New Roman" w:cs="Times New Roman"/>
          <w:sz w:val="24"/>
          <w:szCs w:val="24"/>
        </w:rPr>
        <w:t>Fig</w:t>
      </w:r>
      <w:proofErr w:type="spellEnd"/>
      <w:r w:rsidRPr="00493BE7">
        <w:rPr>
          <w:rFonts w:ascii="Times New Roman" w:eastAsia="TimesNewRoman" w:hAnsi="Times New Roman" w:cs="Times New Roman"/>
          <w:sz w:val="24"/>
          <w:szCs w:val="24"/>
        </w:rPr>
        <w:t xml:space="preserve"> 2.  </w:t>
      </w:r>
      <w:proofErr w:type="spellStart"/>
      <w:r>
        <w:rPr>
          <w:rFonts w:ascii="Times New Roman" w:eastAsia="TimesNewRoman" w:hAnsi="Times New Roman" w:cs="Times New Roman"/>
          <w:sz w:val="24"/>
          <w:szCs w:val="24"/>
        </w:rPr>
        <w:t>Callus</w:t>
      </w:r>
      <w:proofErr w:type="spellEnd"/>
      <w:r>
        <w:rPr>
          <w:rFonts w:ascii="Times New Roman" w:eastAsia="TimesNewRoman" w:hAnsi="Times New Roman" w:cs="Times New Roman"/>
          <w:sz w:val="24"/>
          <w:szCs w:val="24"/>
        </w:rPr>
        <w:t xml:space="preserve"> </w:t>
      </w:r>
      <w:proofErr w:type="spellStart"/>
      <w:r>
        <w:rPr>
          <w:rFonts w:ascii="Times New Roman" w:eastAsia="TimesNewRoman" w:hAnsi="Times New Roman" w:cs="Times New Roman"/>
          <w:sz w:val="24"/>
          <w:szCs w:val="24"/>
        </w:rPr>
        <w:t>diameter</w:t>
      </w:r>
      <w:proofErr w:type="spellEnd"/>
      <w:r>
        <w:rPr>
          <w:rFonts w:ascii="Times New Roman" w:eastAsia="TimesNewRoman" w:hAnsi="Times New Roman" w:cs="Times New Roman"/>
          <w:sz w:val="24"/>
          <w:szCs w:val="24"/>
        </w:rPr>
        <w:t xml:space="preserve"> (cm)</w:t>
      </w:r>
    </w:p>
    <w:p w:rsidR="0082571A" w:rsidRDefault="0082571A" w:rsidP="0082571A">
      <w:pPr>
        <w:autoSpaceDE w:val="0"/>
        <w:autoSpaceDN w:val="0"/>
        <w:adjustRightInd w:val="0"/>
        <w:spacing w:after="0"/>
        <w:ind w:left="709" w:hanging="709"/>
        <w:rPr>
          <w:rFonts w:ascii="Times New Roman" w:eastAsia="TimesNewRoman" w:hAnsi="Times New Roman" w:cs="Times New Roman"/>
          <w:sz w:val="24"/>
          <w:szCs w:val="24"/>
        </w:rPr>
      </w:pPr>
    </w:p>
    <w:p w:rsidR="0082571A" w:rsidRPr="00493BE7" w:rsidRDefault="0082571A" w:rsidP="0082571A">
      <w:pPr>
        <w:autoSpaceDE w:val="0"/>
        <w:autoSpaceDN w:val="0"/>
        <w:adjustRightInd w:val="0"/>
        <w:spacing w:after="0"/>
        <w:ind w:left="709" w:hanging="709"/>
        <w:rPr>
          <w:rFonts w:ascii="Times New Roman" w:eastAsia="TimesNewRoman" w:hAnsi="Times New Roman" w:cs="Times New Roman"/>
          <w:sz w:val="24"/>
          <w:szCs w:val="24"/>
        </w:rPr>
      </w:pPr>
    </w:p>
    <w:p w:rsidR="0082571A" w:rsidRDefault="0082571A">
      <w:r w:rsidRPr="00493BE7">
        <w:rPr>
          <w:rFonts w:ascii="Times New Roman" w:hAnsi="Times New Roman" w:cs="Times New Roman"/>
          <w:noProof/>
          <w:lang w:eastAsia="tr-TR"/>
        </w:rPr>
        <w:lastRenderedPageBreak/>
        <w:drawing>
          <wp:inline distT="0" distB="0" distL="0" distR="0" wp14:anchorId="5D953AED" wp14:editId="41027CC0">
            <wp:extent cx="4572000" cy="2743200"/>
            <wp:effectExtent l="0" t="0" r="19050" b="19050"/>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2571A" w:rsidRDefault="0082571A">
      <w:proofErr w:type="spellStart"/>
      <w:r w:rsidRPr="00493BE7">
        <w:rPr>
          <w:rFonts w:ascii="Times New Roman" w:eastAsia="TimesNewRoman" w:hAnsi="Times New Roman" w:cs="Times New Roman"/>
          <w:sz w:val="24"/>
          <w:szCs w:val="24"/>
        </w:rPr>
        <w:t>Fig</w:t>
      </w:r>
      <w:proofErr w:type="spellEnd"/>
      <w:r w:rsidRPr="00493BE7">
        <w:rPr>
          <w:rFonts w:ascii="Times New Roman" w:eastAsia="TimesNewRoman" w:hAnsi="Times New Roman" w:cs="Times New Roman"/>
          <w:sz w:val="24"/>
          <w:szCs w:val="24"/>
        </w:rPr>
        <w:t xml:space="preserve"> 3. </w:t>
      </w:r>
      <w:proofErr w:type="spellStart"/>
      <w:r w:rsidRPr="00493BE7">
        <w:rPr>
          <w:rFonts w:ascii="Times New Roman" w:eastAsia="TimesNewRoman" w:hAnsi="Times New Roman" w:cs="Times New Roman"/>
          <w:sz w:val="24"/>
          <w:szCs w:val="24"/>
        </w:rPr>
        <w:t>Callus</w:t>
      </w:r>
      <w:proofErr w:type="spellEnd"/>
      <w:r w:rsidRPr="00493BE7">
        <w:rPr>
          <w:rFonts w:ascii="Times New Roman" w:eastAsia="TimesNewRoman" w:hAnsi="Times New Roman" w:cs="Times New Roman"/>
          <w:sz w:val="24"/>
          <w:szCs w:val="24"/>
        </w:rPr>
        <w:t xml:space="preserve"> </w:t>
      </w:r>
      <w:proofErr w:type="spellStart"/>
      <w:r w:rsidRPr="00493BE7">
        <w:rPr>
          <w:rFonts w:ascii="Times New Roman" w:eastAsia="TimesNewRoman" w:hAnsi="Times New Roman" w:cs="Times New Roman"/>
          <w:sz w:val="24"/>
          <w:szCs w:val="24"/>
        </w:rPr>
        <w:t>weight</w:t>
      </w:r>
      <w:proofErr w:type="spellEnd"/>
      <w:r w:rsidRPr="00493BE7">
        <w:rPr>
          <w:rFonts w:ascii="Times New Roman" w:eastAsia="TimesNewRoman" w:hAnsi="Times New Roman" w:cs="Times New Roman"/>
          <w:sz w:val="24"/>
          <w:szCs w:val="24"/>
        </w:rPr>
        <w:t xml:space="preserve"> (mg)</w:t>
      </w:r>
    </w:p>
    <w:p w:rsidR="0082571A" w:rsidRDefault="0082571A">
      <w:r w:rsidRPr="00493BE7">
        <w:rPr>
          <w:rFonts w:ascii="Times New Roman" w:hAnsi="Times New Roman" w:cs="Times New Roman"/>
          <w:noProof/>
          <w:lang w:eastAsia="tr-TR"/>
        </w:rPr>
        <w:drawing>
          <wp:inline distT="0" distB="0" distL="0" distR="0" wp14:anchorId="311E2ADE" wp14:editId="6D5F5672">
            <wp:extent cx="5486400" cy="3400425"/>
            <wp:effectExtent l="0" t="0" r="19050" b="9525"/>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E3E1E" w:rsidRDefault="009E3E1E"/>
    <w:p w:rsidR="009E3E1E" w:rsidRPr="0082571A" w:rsidRDefault="009E3E1E" w:rsidP="009E3E1E">
      <w:pPr>
        <w:pBdr>
          <w:top w:val="nil"/>
          <w:left w:val="nil"/>
          <w:bottom w:val="nil"/>
          <w:right w:val="nil"/>
          <w:between w:val="nil"/>
          <w:bar w:val="nil"/>
        </w:pBdr>
        <w:spacing w:after="0"/>
        <w:jc w:val="both"/>
        <w:rPr>
          <w:rFonts w:ascii="Times New Roman" w:eastAsia="Times New Roman" w:hAnsi="Times New Roman" w:cs="Times New Roman"/>
          <w:b/>
          <w:bCs/>
          <w:color w:val="000000"/>
          <w:u w:color="000000"/>
          <w:bdr w:val="nil"/>
          <w:lang w:val="en-US"/>
        </w:rPr>
      </w:pPr>
      <w:proofErr w:type="spellStart"/>
      <w:r w:rsidRPr="0082571A">
        <w:rPr>
          <w:rFonts w:ascii="Times New Roman" w:eastAsia="Calibri" w:hAnsi="Times New Roman" w:cs="Times New Roman"/>
          <w:b/>
          <w:bCs/>
          <w:color w:val="000000"/>
          <w:u w:color="000000"/>
          <w:bdr w:val="nil"/>
          <w:lang w:val="fr-FR"/>
        </w:rPr>
        <w:t>References</w:t>
      </w:r>
      <w:proofErr w:type="spellEnd"/>
    </w:p>
    <w:p w:rsidR="00202168" w:rsidRDefault="00202168" w:rsidP="009E3E1E">
      <w:pPr>
        <w:pBdr>
          <w:top w:val="nil"/>
          <w:left w:val="nil"/>
          <w:bottom w:val="nil"/>
          <w:right w:val="nil"/>
          <w:between w:val="nil"/>
          <w:bar w:val="nil"/>
        </w:pBdr>
        <w:spacing w:after="0"/>
        <w:ind w:left="709" w:hanging="709"/>
        <w:rPr>
          <w:rFonts w:ascii="Times New Roman" w:eastAsia="Calibri" w:hAnsi="Times New Roman" w:cs="Times New Roman"/>
          <w:color w:val="000000"/>
          <w:u w:color="000000"/>
          <w:bdr w:val="nil"/>
          <w:lang w:val="en-US"/>
        </w:rPr>
      </w:pPr>
    </w:p>
    <w:p w:rsidR="00202168" w:rsidRPr="0082571A" w:rsidRDefault="00202168" w:rsidP="009E3E1E">
      <w:pPr>
        <w:pBdr>
          <w:top w:val="nil"/>
          <w:left w:val="nil"/>
          <w:bottom w:val="nil"/>
          <w:right w:val="nil"/>
          <w:between w:val="nil"/>
          <w:bar w:val="nil"/>
        </w:pBdr>
        <w:spacing w:after="0"/>
        <w:ind w:left="709" w:hanging="709"/>
        <w:jc w:val="both"/>
        <w:rPr>
          <w:rFonts w:ascii="Times New Roman" w:eastAsia="Times New Roman" w:hAnsi="Times New Roman" w:cs="Times New Roman"/>
          <w:color w:val="222222"/>
          <w:u w:color="222222"/>
          <w:bdr w:val="nil"/>
          <w:shd w:val="clear" w:color="auto" w:fill="FFFFFF"/>
          <w:lang w:val="en-US"/>
        </w:rPr>
      </w:pPr>
      <w:proofErr w:type="spellStart"/>
      <w:proofErr w:type="gramStart"/>
      <w:r w:rsidRPr="0082571A">
        <w:rPr>
          <w:rFonts w:ascii="Times New Roman" w:eastAsia="Calibri" w:hAnsi="Times New Roman" w:cs="Times New Roman"/>
          <w:color w:val="222222"/>
          <w:u w:color="222222"/>
          <w:bdr w:val="nil"/>
          <w:shd w:val="clear" w:color="auto" w:fill="FFFFFF"/>
          <w:lang w:val="en-US"/>
        </w:rPr>
        <w:t>Bakheet</w:t>
      </w:r>
      <w:proofErr w:type="spellEnd"/>
      <w:r w:rsidRPr="0082571A">
        <w:rPr>
          <w:rFonts w:ascii="Times New Roman" w:eastAsia="Calibri" w:hAnsi="Times New Roman" w:cs="Times New Roman"/>
          <w:color w:val="222222"/>
          <w:u w:color="222222"/>
          <w:bdr w:val="nil"/>
          <w:shd w:val="clear" w:color="auto" w:fill="FFFFFF"/>
          <w:lang w:val="en-US"/>
        </w:rPr>
        <w:t xml:space="preserve">, G. I., </w:t>
      </w:r>
      <w:proofErr w:type="spellStart"/>
      <w:r w:rsidRPr="0082571A">
        <w:rPr>
          <w:rFonts w:ascii="Times New Roman" w:eastAsia="Calibri" w:hAnsi="Times New Roman" w:cs="Times New Roman"/>
          <w:color w:val="222222"/>
          <w:u w:color="222222"/>
          <w:bdr w:val="nil"/>
          <w:shd w:val="clear" w:color="auto" w:fill="FFFFFF"/>
          <w:lang w:val="en-US"/>
        </w:rPr>
        <w:t>Soliman</w:t>
      </w:r>
      <w:proofErr w:type="spellEnd"/>
      <w:r w:rsidRPr="0082571A">
        <w:rPr>
          <w:rFonts w:ascii="Times New Roman" w:eastAsia="Calibri" w:hAnsi="Times New Roman" w:cs="Times New Roman"/>
          <w:color w:val="222222"/>
          <w:u w:color="222222"/>
          <w:bdr w:val="nil"/>
          <w:shd w:val="clear" w:color="auto" w:fill="FFFFFF"/>
          <w:lang w:val="en-US"/>
        </w:rPr>
        <w:t xml:space="preserve">, S. S., </w:t>
      </w:r>
      <w:proofErr w:type="spellStart"/>
      <w:r w:rsidRPr="0082571A">
        <w:rPr>
          <w:rFonts w:ascii="Times New Roman" w:eastAsia="Calibri" w:hAnsi="Times New Roman" w:cs="Times New Roman"/>
          <w:color w:val="222222"/>
          <w:u w:color="222222"/>
          <w:bdr w:val="nil"/>
          <w:shd w:val="clear" w:color="auto" w:fill="FFFFFF"/>
          <w:lang w:val="en-US"/>
        </w:rPr>
        <w:t>Abdelkader</w:t>
      </w:r>
      <w:proofErr w:type="spellEnd"/>
      <w:r w:rsidRPr="0082571A">
        <w:rPr>
          <w:rFonts w:ascii="Times New Roman" w:eastAsia="Calibri" w:hAnsi="Times New Roman" w:cs="Times New Roman"/>
          <w:color w:val="222222"/>
          <w:u w:color="222222"/>
          <w:bdr w:val="nil"/>
          <w:shd w:val="clear" w:color="auto" w:fill="FFFFFF"/>
          <w:lang w:val="en-US"/>
        </w:rPr>
        <w:t>, M.</w:t>
      </w:r>
      <w:r w:rsidR="00FC6846">
        <w:rPr>
          <w:rFonts w:ascii="Times New Roman" w:eastAsia="Calibri" w:hAnsi="Times New Roman" w:cs="Times New Roman"/>
          <w:color w:val="222222"/>
          <w:u w:color="222222"/>
          <w:bdr w:val="nil"/>
          <w:shd w:val="clear" w:color="auto" w:fill="FFFFFF"/>
          <w:lang w:val="en-US"/>
        </w:rPr>
        <w:t xml:space="preserve"> A. I., &amp; </w:t>
      </w:r>
      <w:proofErr w:type="spellStart"/>
      <w:r w:rsidR="00FC6846">
        <w:rPr>
          <w:rFonts w:ascii="Times New Roman" w:eastAsia="Calibri" w:hAnsi="Times New Roman" w:cs="Times New Roman"/>
          <w:color w:val="222222"/>
          <w:u w:color="222222"/>
          <w:bdr w:val="nil"/>
          <w:shd w:val="clear" w:color="auto" w:fill="FFFFFF"/>
          <w:lang w:val="en-US"/>
        </w:rPr>
        <w:t>Elashtokhy</w:t>
      </w:r>
      <w:proofErr w:type="spellEnd"/>
      <w:r w:rsidR="00FC6846">
        <w:rPr>
          <w:rFonts w:ascii="Times New Roman" w:eastAsia="Calibri" w:hAnsi="Times New Roman" w:cs="Times New Roman"/>
          <w:color w:val="222222"/>
          <w:u w:color="222222"/>
          <w:bdr w:val="nil"/>
          <w:shd w:val="clear" w:color="auto" w:fill="FFFFFF"/>
          <w:lang w:val="en-US"/>
        </w:rPr>
        <w:t>, M. M. A. 2018</w:t>
      </w:r>
      <w:r w:rsidRPr="0082571A">
        <w:rPr>
          <w:rFonts w:ascii="Times New Roman" w:eastAsia="Calibri" w:hAnsi="Times New Roman" w:cs="Times New Roman"/>
          <w:color w:val="222222"/>
          <w:u w:color="222222"/>
          <w:bdr w:val="nil"/>
          <w:shd w:val="clear" w:color="auto" w:fill="FFFFFF"/>
          <w:lang w:val="en-US"/>
        </w:rPr>
        <w:t>.</w:t>
      </w:r>
      <w:proofErr w:type="gramEnd"/>
      <w:r w:rsidRPr="0082571A">
        <w:rPr>
          <w:rFonts w:ascii="Times New Roman" w:eastAsia="Calibri" w:hAnsi="Times New Roman" w:cs="Times New Roman"/>
          <w:color w:val="222222"/>
          <w:u w:color="222222"/>
          <w:bdr w:val="nil"/>
          <w:shd w:val="clear" w:color="auto" w:fill="FFFFFF"/>
          <w:lang w:val="en-US"/>
        </w:rPr>
        <w:t xml:space="preserve"> Effects </w:t>
      </w:r>
      <w:proofErr w:type="gramStart"/>
      <w:r w:rsidRPr="0082571A">
        <w:rPr>
          <w:rFonts w:ascii="Times New Roman" w:eastAsia="Calibri" w:hAnsi="Times New Roman" w:cs="Times New Roman"/>
          <w:color w:val="222222"/>
          <w:u w:color="222222"/>
          <w:bdr w:val="nil"/>
          <w:shd w:val="clear" w:color="auto" w:fill="FFFFFF"/>
          <w:lang w:val="en-US"/>
        </w:rPr>
        <w:t>Of</w:t>
      </w:r>
      <w:proofErr w:type="gramEnd"/>
      <w:r w:rsidRPr="0082571A">
        <w:rPr>
          <w:rFonts w:ascii="Times New Roman" w:eastAsia="Calibri" w:hAnsi="Times New Roman" w:cs="Times New Roman"/>
          <w:color w:val="222222"/>
          <w:u w:color="222222"/>
          <w:bdr w:val="nil"/>
          <w:shd w:val="clear" w:color="auto" w:fill="FFFFFF"/>
          <w:lang w:val="en-US"/>
        </w:rPr>
        <w:t xml:space="preserve"> Dıfferent Croton (</w:t>
      </w:r>
      <w:proofErr w:type="spellStart"/>
      <w:r w:rsidRPr="00202168">
        <w:rPr>
          <w:rFonts w:ascii="Times New Roman" w:eastAsia="Calibri" w:hAnsi="Times New Roman" w:cs="Times New Roman"/>
          <w:i/>
          <w:color w:val="222222"/>
          <w:u w:color="222222"/>
          <w:bdr w:val="nil"/>
          <w:shd w:val="clear" w:color="auto" w:fill="FFFFFF"/>
          <w:lang w:val="en-US"/>
        </w:rPr>
        <w:t>Codiaeum</w:t>
      </w:r>
      <w:proofErr w:type="spellEnd"/>
      <w:r w:rsidRPr="00202168">
        <w:rPr>
          <w:rFonts w:ascii="Times New Roman" w:eastAsia="Calibri" w:hAnsi="Times New Roman" w:cs="Times New Roman"/>
          <w:i/>
          <w:color w:val="222222"/>
          <w:u w:color="222222"/>
          <w:bdr w:val="nil"/>
          <w:shd w:val="clear" w:color="auto" w:fill="FFFFFF"/>
          <w:lang w:val="en-US"/>
        </w:rPr>
        <w:t xml:space="preserve"> </w:t>
      </w:r>
      <w:proofErr w:type="spellStart"/>
      <w:r w:rsidRPr="00202168">
        <w:rPr>
          <w:rFonts w:ascii="Times New Roman" w:eastAsia="Calibri" w:hAnsi="Times New Roman" w:cs="Times New Roman"/>
          <w:i/>
          <w:color w:val="222222"/>
          <w:u w:color="222222"/>
          <w:bdr w:val="nil"/>
          <w:shd w:val="clear" w:color="auto" w:fill="FFFFFF"/>
          <w:lang w:val="en-US"/>
        </w:rPr>
        <w:t>Variegatum</w:t>
      </w:r>
      <w:proofErr w:type="spellEnd"/>
      <w:r w:rsidRPr="00202168">
        <w:rPr>
          <w:rFonts w:ascii="Times New Roman" w:eastAsia="Calibri" w:hAnsi="Times New Roman" w:cs="Times New Roman"/>
          <w:i/>
          <w:color w:val="222222"/>
          <w:u w:color="222222"/>
          <w:bdr w:val="nil"/>
          <w:shd w:val="clear" w:color="auto" w:fill="FFFFFF"/>
          <w:lang w:val="en-US"/>
        </w:rPr>
        <w:t xml:space="preserve"> </w:t>
      </w:r>
      <w:r w:rsidRPr="0082571A">
        <w:rPr>
          <w:rFonts w:ascii="Times New Roman" w:eastAsia="Calibri" w:hAnsi="Times New Roman" w:cs="Times New Roman"/>
          <w:color w:val="222222"/>
          <w:u w:color="222222"/>
          <w:bdr w:val="nil"/>
          <w:shd w:val="clear" w:color="auto" w:fill="FFFFFF"/>
          <w:lang w:val="en-US"/>
        </w:rPr>
        <w:t xml:space="preserve">L.) Genotypes </w:t>
      </w:r>
      <w:proofErr w:type="gramStart"/>
      <w:r w:rsidRPr="0082571A">
        <w:rPr>
          <w:rFonts w:ascii="Times New Roman" w:eastAsia="Calibri" w:hAnsi="Times New Roman" w:cs="Times New Roman"/>
          <w:color w:val="222222"/>
          <w:u w:color="222222"/>
          <w:bdr w:val="nil"/>
          <w:shd w:val="clear" w:color="auto" w:fill="FFFFFF"/>
          <w:lang w:val="en-US"/>
        </w:rPr>
        <w:t>And</w:t>
      </w:r>
      <w:proofErr w:type="gramEnd"/>
      <w:r w:rsidRPr="0082571A">
        <w:rPr>
          <w:rFonts w:ascii="Times New Roman" w:eastAsia="Calibri" w:hAnsi="Times New Roman" w:cs="Times New Roman"/>
          <w:color w:val="222222"/>
          <w:u w:color="222222"/>
          <w:bdr w:val="nil"/>
          <w:shd w:val="clear" w:color="auto" w:fill="FFFFFF"/>
          <w:lang w:val="en-US"/>
        </w:rPr>
        <w:t xml:space="preserve"> Growth Regulators On </w:t>
      </w:r>
      <w:r w:rsidRPr="0082571A">
        <w:rPr>
          <w:rFonts w:ascii="Times New Roman" w:eastAsia="Calibri" w:hAnsi="Times New Roman" w:cs="Times New Roman"/>
          <w:color w:val="222222"/>
          <w:u w:color="222222"/>
          <w:bdr w:val="nil"/>
          <w:shd w:val="clear" w:color="auto" w:fill="FFFFFF"/>
          <w:lang w:val="it-IT"/>
        </w:rPr>
        <w:t>Callus</w:t>
      </w:r>
      <w:r w:rsidRPr="0082571A">
        <w:rPr>
          <w:rFonts w:ascii="Times New Roman" w:eastAsia="Calibri" w:hAnsi="Times New Roman" w:cs="Times New Roman"/>
          <w:color w:val="222222"/>
          <w:u w:color="222222"/>
          <w:bdr w:val="nil"/>
          <w:shd w:val="clear" w:color="auto" w:fill="FFFFFF"/>
          <w:lang w:val="es-ES_tradnl"/>
        </w:rPr>
        <w:t xml:space="preserve"> Induct</w:t>
      </w:r>
      <w:r w:rsidRPr="0082571A">
        <w:rPr>
          <w:rFonts w:ascii="Times New Roman" w:eastAsia="Calibri" w:hAnsi="Times New Roman" w:cs="Times New Roman"/>
          <w:color w:val="222222"/>
          <w:u w:color="222222"/>
          <w:bdr w:val="nil"/>
          <w:shd w:val="clear" w:color="auto" w:fill="FFFFFF"/>
          <w:lang w:val="en-US"/>
        </w:rPr>
        <w:t xml:space="preserve">ıon, </w:t>
      </w:r>
      <w:proofErr w:type="spellStart"/>
      <w:r w:rsidRPr="0082571A">
        <w:rPr>
          <w:rFonts w:ascii="Times New Roman" w:eastAsia="Calibri" w:hAnsi="Times New Roman" w:cs="Times New Roman"/>
          <w:color w:val="222222"/>
          <w:u w:color="222222"/>
          <w:bdr w:val="nil"/>
          <w:shd w:val="clear" w:color="auto" w:fill="FFFFFF"/>
          <w:lang w:val="en-US"/>
        </w:rPr>
        <w:t>Mı</w:t>
      </w:r>
      <w:proofErr w:type="spellEnd"/>
      <w:r w:rsidRPr="0082571A">
        <w:rPr>
          <w:rFonts w:ascii="Times New Roman" w:eastAsia="Calibri" w:hAnsi="Times New Roman" w:cs="Times New Roman"/>
          <w:color w:val="222222"/>
          <w:u w:color="222222"/>
          <w:bdr w:val="nil"/>
          <w:shd w:val="clear" w:color="auto" w:fill="FFFFFF"/>
          <w:lang w:val="it-IT"/>
        </w:rPr>
        <w:t>cro Propagat</w:t>
      </w:r>
      <w:r w:rsidRPr="0082571A">
        <w:rPr>
          <w:rFonts w:ascii="Times New Roman" w:eastAsia="Calibri" w:hAnsi="Times New Roman" w:cs="Times New Roman"/>
          <w:color w:val="222222"/>
          <w:u w:color="222222"/>
          <w:bdr w:val="nil"/>
          <w:shd w:val="clear" w:color="auto" w:fill="FFFFFF"/>
          <w:lang w:val="en-US"/>
        </w:rPr>
        <w:t>ıon And Antıbacterıal Actıvıtı</w:t>
      </w:r>
      <w:r w:rsidRPr="0082571A">
        <w:rPr>
          <w:rFonts w:ascii="Times New Roman" w:eastAsia="Calibri" w:hAnsi="Times New Roman" w:cs="Times New Roman"/>
          <w:color w:val="222222"/>
          <w:u w:color="222222"/>
          <w:bdr w:val="nil"/>
          <w:shd w:val="clear" w:color="auto" w:fill="FFFFFF"/>
          <w:lang w:val="pt-PT"/>
        </w:rPr>
        <w:t>es.</w:t>
      </w:r>
      <w:r w:rsidRPr="0082571A">
        <w:rPr>
          <w:rFonts w:ascii="Times New Roman" w:eastAsia="Calibri" w:hAnsi="Times New Roman" w:cs="Times New Roman"/>
          <w:color w:val="222222"/>
          <w:u w:color="222222"/>
          <w:bdr w:val="nil"/>
          <w:shd w:val="clear" w:color="auto" w:fill="FFFFFF"/>
          <w:lang w:val="en-US"/>
        </w:rPr>
        <w:t> </w:t>
      </w:r>
      <w:proofErr w:type="spellStart"/>
      <w:r w:rsidRPr="0082571A">
        <w:rPr>
          <w:rFonts w:ascii="Times New Roman" w:eastAsia="Calibri" w:hAnsi="Times New Roman" w:cs="Times New Roman"/>
          <w:i/>
          <w:iCs/>
          <w:color w:val="222222"/>
          <w:u w:color="222222"/>
          <w:bdr w:val="nil"/>
          <w:shd w:val="clear" w:color="auto" w:fill="FFFFFF"/>
          <w:lang w:val="de-DE"/>
        </w:rPr>
        <w:t>Zagazig</w:t>
      </w:r>
      <w:proofErr w:type="spellEnd"/>
      <w:r w:rsidRPr="0082571A">
        <w:rPr>
          <w:rFonts w:ascii="Times New Roman" w:eastAsia="Calibri" w:hAnsi="Times New Roman" w:cs="Times New Roman"/>
          <w:i/>
          <w:iCs/>
          <w:color w:val="222222"/>
          <w:u w:color="222222"/>
          <w:bdr w:val="nil"/>
          <w:shd w:val="clear" w:color="auto" w:fill="FFFFFF"/>
          <w:lang w:val="de-DE"/>
        </w:rPr>
        <w:t xml:space="preserve"> Journal </w:t>
      </w:r>
      <w:proofErr w:type="spellStart"/>
      <w:r w:rsidRPr="0082571A">
        <w:rPr>
          <w:rFonts w:ascii="Times New Roman" w:eastAsia="Calibri" w:hAnsi="Times New Roman" w:cs="Times New Roman"/>
          <w:i/>
          <w:iCs/>
          <w:color w:val="222222"/>
          <w:u w:color="222222"/>
          <w:bdr w:val="nil"/>
          <w:shd w:val="clear" w:color="auto" w:fill="FFFFFF"/>
          <w:lang w:val="de-DE"/>
        </w:rPr>
        <w:t>Of</w:t>
      </w:r>
      <w:proofErr w:type="spellEnd"/>
      <w:r w:rsidRPr="0082571A">
        <w:rPr>
          <w:rFonts w:ascii="Times New Roman" w:eastAsia="Calibri" w:hAnsi="Times New Roman" w:cs="Times New Roman"/>
          <w:i/>
          <w:iCs/>
          <w:color w:val="222222"/>
          <w:u w:color="222222"/>
          <w:bdr w:val="nil"/>
          <w:shd w:val="clear" w:color="auto" w:fill="FFFFFF"/>
          <w:lang w:val="de-DE"/>
        </w:rPr>
        <w:t xml:space="preserve"> </w:t>
      </w:r>
      <w:proofErr w:type="spellStart"/>
      <w:r w:rsidRPr="0082571A">
        <w:rPr>
          <w:rFonts w:ascii="Times New Roman" w:eastAsia="Calibri" w:hAnsi="Times New Roman" w:cs="Times New Roman"/>
          <w:i/>
          <w:iCs/>
          <w:color w:val="222222"/>
          <w:u w:color="222222"/>
          <w:bdr w:val="nil"/>
          <w:shd w:val="clear" w:color="auto" w:fill="FFFFFF"/>
          <w:lang w:val="de-DE"/>
        </w:rPr>
        <w:t>Agricultural</w:t>
      </w:r>
      <w:proofErr w:type="spellEnd"/>
      <w:r w:rsidRPr="0082571A">
        <w:rPr>
          <w:rFonts w:ascii="Times New Roman" w:eastAsia="Calibri" w:hAnsi="Times New Roman" w:cs="Times New Roman"/>
          <w:i/>
          <w:iCs/>
          <w:color w:val="222222"/>
          <w:u w:color="222222"/>
          <w:bdr w:val="nil"/>
          <w:shd w:val="clear" w:color="auto" w:fill="FFFFFF"/>
          <w:lang w:val="de-DE"/>
        </w:rPr>
        <w:t xml:space="preserve"> Research</w:t>
      </w:r>
      <w:r w:rsidRPr="0082571A">
        <w:rPr>
          <w:rFonts w:ascii="Times New Roman" w:eastAsia="Calibri" w:hAnsi="Times New Roman" w:cs="Times New Roman"/>
          <w:color w:val="222222"/>
          <w:u w:color="222222"/>
          <w:bdr w:val="nil"/>
          <w:shd w:val="clear" w:color="auto" w:fill="FFFFFF"/>
          <w:lang w:val="en-US"/>
        </w:rPr>
        <w:t>, </w:t>
      </w:r>
      <w:r w:rsidRPr="0082571A">
        <w:rPr>
          <w:rFonts w:ascii="Times New Roman" w:eastAsia="Calibri" w:hAnsi="Times New Roman" w:cs="Times New Roman"/>
          <w:i/>
          <w:iCs/>
          <w:color w:val="222222"/>
          <w:u w:color="222222"/>
          <w:bdr w:val="nil"/>
          <w:shd w:val="clear" w:color="auto" w:fill="FFFFFF"/>
          <w:lang w:val="en-US"/>
        </w:rPr>
        <w:t>45</w:t>
      </w:r>
      <w:r w:rsidRPr="0082571A">
        <w:rPr>
          <w:rFonts w:ascii="Times New Roman" w:eastAsia="Calibri" w:hAnsi="Times New Roman" w:cs="Times New Roman"/>
          <w:color w:val="222222"/>
          <w:u w:color="222222"/>
          <w:bdr w:val="nil"/>
          <w:shd w:val="clear" w:color="auto" w:fill="FFFFFF"/>
          <w:lang w:val="en-US"/>
        </w:rPr>
        <w:t>(1), 331-347.</w:t>
      </w:r>
    </w:p>
    <w:p w:rsidR="00202168" w:rsidRDefault="00202168" w:rsidP="00C15FC5">
      <w:pPr>
        <w:pBdr>
          <w:top w:val="nil"/>
          <w:left w:val="nil"/>
          <w:bottom w:val="nil"/>
          <w:right w:val="nil"/>
          <w:between w:val="nil"/>
          <w:bar w:val="nil"/>
        </w:pBdr>
        <w:spacing w:after="0"/>
        <w:ind w:left="709" w:hanging="709"/>
        <w:rPr>
          <w:rFonts w:ascii="Times New Roman" w:eastAsia="Calibri" w:hAnsi="Times New Roman" w:cs="Times New Roman"/>
          <w:color w:val="000000"/>
          <w:u w:color="000000"/>
          <w:bdr w:val="nil"/>
          <w:lang w:val="en-US"/>
        </w:rPr>
      </w:pPr>
      <w:proofErr w:type="spellStart"/>
      <w:r w:rsidRPr="006F3301">
        <w:rPr>
          <w:rFonts w:ascii="Times New Roman" w:eastAsia="Calibri" w:hAnsi="Times New Roman" w:cs="Times New Roman"/>
          <w:color w:val="000000"/>
          <w:u w:color="000000"/>
          <w:bdr w:val="nil"/>
          <w:lang w:val="en-US"/>
        </w:rPr>
        <w:t>Duhoky</w:t>
      </w:r>
      <w:proofErr w:type="spellEnd"/>
      <w:r w:rsidRPr="006F3301">
        <w:rPr>
          <w:rFonts w:ascii="Times New Roman" w:eastAsia="Calibri" w:hAnsi="Times New Roman" w:cs="Times New Roman"/>
          <w:color w:val="000000"/>
          <w:u w:color="000000"/>
          <w:bdr w:val="nil"/>
          <w:lang w:val="en-US"/>
        </w:rPr>
        <w:t>, M. M., &amp; Al-</w:t>
      </w:r>
      <w:proofErr w:type="spellStart"/>
      <w:r w:rsidRPr="006F3301">
        <w:rPr>
          <w:rFonts w:ascii="Times New Roman" w:eastAsia="Calibri" w:hAnsi="Times New Roman" w:cs="Times New Roman"/>
          <w:color w:val="000000"/>
          <w:u w:color="000000"/>
          <w:bdr w:val="nil"/>
          <w:lang w:val="en-US"/>
        </w:rPr>
        <w:t>Mizory</w:t>
      </w:r>
      <w:proofErr w:type="spellEnd"/>
      <w:r w:rsidRPr="006F3301">
        <w:rPr>
          <w:rFonts w:ascii="Times New Roman" w:eastAsia="Calibri" w:hAnsi="Times New Roman" w:cs="Times New Roman"/>
          <w:color w:val="000000"/>
          <w:u w:color="000000"/>
          <w:bdr w:val="nil"/>
          <w:lang w:val="en-US"/>
        </w:rPr>
        <w:t xml:space="preserve">, L. S. </w:t>
      </w:r>
      <w:proofErr w:type="spellStart"/>
      <w:r w:rsidRPr="006F3301">
        <w:rPr>
          <w:rFonts w:ascii="Times New Roman" w:eastAsia="Calibri" w:hAnsi="Times New Roman" w:cs="Times New Roman"/>
          <w:color w:val="000000"/>
          <w:u w:color="000000"/>
          <w:bdr w:val="nil"/>
          <w:lang w:val="en-US"/>
        </w:rPr>
        <w:t>Micropropagation</w:t>
      </w:r>
      <w:proofErr w:type="spellEnd"/>
      <w:r w:rsidRPr="006F3301">
        <w:rPr>
          <w:rFonts w:ascii="Times New Roman" w:eastAsia="Calibri" w:hAnsi="Times New Roman" w:cs="Times New Roman"/>
          <w:color w:val="000000"/>
          <w:u w:color="000000"/>
          <w:bdr w:val="nil"/>
          <w:lang w:val="en-US"/>
        </w:rPr>
        <w:t xml:space="preserve"> </w:t>
      </w:r>
      <w:proofErr w:type="gramStart"/>
      <w:r w:rsidRPr="006F3301">
        <w:rPr>
          <w:rFonts w:ascii="Times New Roman" w:eastAsia="Calibri" w:hAnsi="Times New Roman" w:cs="Times New Roman"/>
          <w:color w:val="000000"/>
          <w:u w:color="000000"/>
          <w:bdr w:val="nil"/>
          <w:lang w:val="en-US"/>
        </w:rPr>
        <w:t>Of</w:t>
      </w:r>
      <w:proofErr w:type="gramEnd"/>
      <w:r w:rsidRPr="006F3301">
        <w:rPr>
          <w:rFonts w:ascii="Times New Roman" w:eastAsia="Calibri" w:hAnsi="Times New Roman" w:cs="Times New Roman"/>
          <w:color w:val="000000"/>
          <w:u w:color="000000"/>
          <w:bdr w:val="nil"/>
          <w:lang w:val="en-US"/>
        </w:rPr>
        <w:t xml:space="preserve"> Crotone (</w:t>
      </w:r>
      <w:proofErr w:type="spellStart"/>
      <w:r w:rsidRPr="00202168">
        <w:rPr>
          <w:rFonts w:ascii="Times New Roman" w:eastAsia="Calibri" w:hAnsi="Times New Roman" w:cs="Times New Roman"/>
          <w:i/>
          <w:color w:val="000000"/>
          <w:u w:color="000000"/>
          <w:bdr w:val="nil"/>
          <w:lang w:val="en-US"/>
        </w:rPr>
        <w:t>Codiaeum</w:t>
      </w:r>
      <w:proofErr w:type="spellEnd"/>
      <w:r w:rsidRPr="00202168">
        <w:rPr>
          <w:rFonts w:ascii="Times New Roman" w:eastAsia="Calibri" w:hAnsi="Times New Roman" w:cs="Times New Roman"/>
          <w:i/>
          <w:color w:val="000000"/>
          <w:u w:color="000000"/>
          <w:bdr w:val="nil"/>
          <w:lang w:val="en-US"/>
        </w:rPr>
        <w:t xml:space="preserve"> </w:t>
      </w:r>
      <w:proofErr w:type="spellStart"/>
      <w:r w:rsidRPr="00202168">
        <w:rPr>
          <w:rFonts w:ascii="Times New Roman" w:eastAsia="Calibri" w:hAnsi="Times New Roman" w:cs="Times New Roman"/>
          <w:i/>
          <w:color w:val="000000"/>
          <w:u w:color="000000"/>
          <w:bdr w:val="nil"/>
          <w:lang w:val="en-US"/>
        </w:rPr>
        <w:t>Variegatum</w:t>
      </w:r>
      <w:proofErr w:type="spellEnd"/>
      <w:r w:rsidRPr="006F3301">
        <w:rPr>
          <w:rFonts w:ascii="Times New Roman" w:eastAsia="Calibri" w:hAnsi="Times New Roman" w:cs="Times New Roman"/>
          <w:color w:val="000000"/>
          <w:u w:color="000000"/>
          <w:bdr w:val="nil"/>
          <w:lang w:val="en-US"/>
        </w:rPr>
        <w:t xml:space="preserve">). Drying Cycles In Distilled Water, Caco3, Mgso4 </w:t>
      </w:r>
      <w:proofErr w:type="gramStart"/>
      <w:r w:rsidRPr="006F3301">
        <w:rPr>
          <w:rFonts w:ascii="Times New Roman" w:eastAsia="Calibri" w:hAnsi="Times New Roman" w:cs="Times New Roman"/>
          <w:color w:val="000000"/>
          <w:u w:color="000000"/>
          <w:bdr w:val="nil"/>
          <w:lang w:val="en-US"/>
        </w:rPr>
        <w:t>And</w:t>
      </w:r>
      <w:proofErr w:type="gramEnd"/>
      <w:r w:rsidRPr="006F3301">
        <w:rPr>
          <w:rFonts w:ascii="Times New Roman" w:eastAsia="Calibri" w:hAnsi="Times New Roman" w:cs="Times New Roman"/>
          <w:color w:val="000000"/>
          <w:u w:color="000000"/>
          <w:bdr w:val="nil"/>
          <w:lang w:val="en-US"/>
        </w:rPr>
        <w:t xml:space="preserve"> Caco3+ Mgso4 Solutions On Growth And </w:t>
      </w:r>
    </w:p>
    <w:p w:rsidR="00202168" w:rsidRDefault="00FC6846" w:rsidP="009E3E1E">
      <w:pPr>
        <w:pBdr>
          <w:top w:val="nil"/>
          <w:left w:val="nil"/>
          <w:bottom w:val="nil"/>
          <w:right w:val="nil"/>
          <w:between w:val="nil"/>
          <w:bar w:val="nil"/>
        </w:pBdr>
        <w:spacing w:after="0"/>
        <w:ind w:left="709" w:hanging="709"/>
        <w:rPr>
          <w:rFonts w:ascii="Times New Roman" w:eastAsia="Calibri" w:hAnsi="Times New Roman" w:cs="Times New Roman"/>
          <w:color w:val="000000"/>
          <w:u w:color="000000"/>
          <w:bdr w:val="nil"/>
          <w:lang w:val="en-US"/>
        </w:rPr>
      </w:pPr>
      <w:proofErr w:type="spellStart"/>
      <w:r>
        <w:rPr>
          <w:rFonts w:ascii="Times New Roman" w:eastAsia="Calibri" w:hAnsi="Times New Roman" w:cs="Times New Roman"/>
          <w:color w:val="000000"/>
          <w:u w:color="000000"/>
          <w:bdr w:val="nil"/>
          <w:lang w:val="en-US"/>
        </w:rPr>
        <w:t>Efferth</w:t>
      </w:r>
      <w:proofErr w:type="spellEnd"/>
      <w:r>
        <w:rPr>
          <w:rFonts w:ascii="Times New Roman" w:eastAsia="Calibri" w:hAnsi="Times New Roman" w:cs="Times New Roman"/>
          <w:color w:val="000000"/>
          <w:u w:color="000000"/>
          <w:bdr w:val="nil"/>
          <w:lang w:val="en-US"/>
        </w:rPr>
        <w:t>, T. 2019</w:t>
      </w:r>
      <w:r w:rsidR="00202168" w:rsidRPr="00D630E9">
        <w:rPr>
          <w:rFonts w:ascii="Times New Roman" w:eastAsia="Calibri" w:hAnsi="Times New Roman" w:cs="Times New Roman"/>
          <w:color w:val="000000"/>
          <w:u w:color="000000"/>
          <w:bdr w:val="nil"/>
          <w:lang w:val="en-US"/>
        </w:rPr>
        <w:t>. Biotechnology applications of plant callus cultures. Engineering, 5(1), 50-59.</w:t>
      </w:r>
    </w:p>
    <w:p w:rsidR="00202168" w:rsidRDefault="00202168" w:rsidP="00C15FC5">
      <w:pPr>
        <w:pBdr>
          <w:top w:val="nil"/>
          <w:left w:val="nil"/>
          <w:bottom w:val="nil"/>
          <w:right w:val="nil"/>
          <w:between w:val="nil"/>
          <w:bar w:val="nil"/>
        </w:pBdr>
        <w:spacing w:after="0"/>
        <w:ind w:left="709" w:hanging="709"/>
        <w:rPr>
          <w:rFonts w:ascii="Times New Roman" w:eastAsia="Calibri" w:hAnsi="Times New Roman" w:cs="Times New Roman"/>
          <w:color w:val="000000"/>
          <w:u w:color="000000"/>
          <w:bdr w:val="nil"/>
          <w:lang w:val="en-US"/>
        </w:rPr>
      </w:pPr>
      <w:proofErr w:type="gramStart"/>
      <w:r w:rsidRPr="008B08D3">
        <w:rPr>
          <w:rFonts w:ascii="Times New Roman" w:eastAsia="Calibri" w:hAnsi="Times New Roman" w:cs="Times New Roman"/>
          <w:color w:val="000000"/>
          <w:u w:color="000000"/>
          <w:bdr w:val="nil"/>
          <w:lang w:val="en-US"/>
        </w:rPr>
        <w:lastRenderedPageBreak/>
        <w:t>Gao</w:t>
      </w:r>
      <w:proofErr w:type="gramEnd"/>
      <w:r w:rsidRPr="008B08D3">
        <w:rPr>
          <w:rFonts w:ascii="Times New Roman" w:eastAsia="Calibri" w:hAnsi="Times New Roman" w:cs="Times New Roman"/>
          <w:color w:val="000000"/>
          <w:u w:color="000000"/>
          <w:bdr w:val="nil"/>
          <w:lang w:val="en-US"/>
        </w:rPr>
        <w:t xml:space="preserve">, J., Li, J., Luo, C., Yin, </w:t>
      </w:r>
      <w:r w:rsidR="00FC6846">
        <w:rPr>
          <w:rFonts w:ascii="Times New Roman" w:eastAsia="Calibri" w:hAnsi="Times New Roman" w:cs="Times New Roman"/>
          <w:color w:val="000000"/>
          <w:u w:color="000000"/>
          <w:bdr w:val="nil"/>
          <w:lang w:val="en-US"/>
        </w:rPr>
        <w:t>L., Li, S., Yang, G., &amp; He, G. 2011</w:t>
      </w:r>
      <w:r w:rsidRPr="008B08D3">
        <w:rPr>
          <w:rFonts w:ascii="Times New Roman" w:eastAsia="Calibri" w:hAnsi="Times New Roman" w:cs="Times New Roman"/>
          <w:color w:val="000000"/>
          <w:u w:color="000000"/>
          <w:bdr w:val="nil"/>
          <w:lang w:val="en-US"/>
        </w:rPr>
        <w:t xml:space="preserve">. Callus induction and plant regeneration in </w:t>
      </w:r>
      <w:proofErr w:type="spellStart"/>
      <w:r w:rsidRPr="00202168">
        <w:rPr>
          <w:rFonts w:ascii="Times New Roman" w:eastAsia="Calibri" w:hAnsi="Times New Roman" w:cs="Times New Roman"/>
          <w:i/>
          <w:color w:val="000000"/>
          <w:u w:color="000000"/>
          <w:bdr w:val="nil"/>
          <w:lang w:val="en-US"/>
        </w:rPr>
        <w:t>Alternanthera</w:t>
      </w:r>
      <w:proofErr w:type="spellEnd"/>
      <w:r w:rsidRPr="00202168">
        <w:rPr>
          <w:rFonts w:ascii="Times New Roman" w:eastAsia="Calibri" w:hAnsi="Times New Roman" w:cs="Times New Roman"/>
          <w:i/>
          <w:color w:val="000000"/>
          <w:u w:color="000000"/>
          <w:bdr w:val="nil"/>
          <w:lang w:val="en-US"/>
        </w:rPr>
        <w:t xml:space="preserve"> </w:t>
      </w:r>
      <w:proofErr w:type="spellStart"/>
      <w:r w:rsidRPr="00202168">
        <w:rPr>
          <w:rFonts w:ascii="Times New Roman" w:eastAsia="Calibri" w:hAnsi="Times New Roman" w:cs="Times New Roman"/>
          <w:i/>
          <w:color w:val="000000"/>
          <w:u w:color="000000"/>
          <w:bdr w:val="nil"/>
          <w:lang w:val="en-US"/>
        </w:rPr>
        <w:t>philoxeroides</w:t>
      </w:r>
      <w:proofErr w:type="spellEnd"/>
      <w:r w:rsidRPr="008B08D3">
        <w:rPr>
          <w:rFonts w:ascii="Times New Roman" w:eastAsia="Calibri" w:hAnsi="Times New Roman" w:cs="Times New Roman"/>
          <w:color w:val="000000"/>
          <w:u w:color="000000"/>
          <w:bdr w:val="nil"/>
          <w:lang w:val="en-US"/>
        </w:rPr>
        <w:t xml:space="preserve">. </w:t>
      </w:r>
      <w:proofErr w:type="gramStart"/>
      <w:r w:rsidRPr="008B08D3">
        <w:rPr>
          <w:rFonts w:ascii="Times New Roman" w:eastAsia="Calibri" w:hAnsi="Times New Roman" w:cs="Times New Roman"/>
          <w:color w:val="000000"/>
          <w:u w:color="000000"/>
          <w:bdr w:val="nil"/>
          <w:lang w:val="en-US"/>
        </w:rPr>
        <w:t>Molecular biology reports, 38(2), 1413-1417.</w:t>
      </w:r>
      <w:r w:rsidRPr="006F3301">
        <w:rPr>
          <w:rFonts w:ascii="Times New Roman" w:eastAsia="Calibri" w:hAnsi="Times New Roman" w:cs="Times New Roman"/>
          <w:color w:val="000000"/>
          <w:u w:color="000000"/>
          <w:bdr w:val="nil"/>
          <w:lang w:val="en-US"/>
        </w:rPr>
        <w:t>Yield, 112.</w:t>
      </w:r>
      <w:proofErr w:type="gramEnd"/>
    </w:p>
    <w:p w:rsidR="00202168" w:rsidRPr="0082571A" w:rsidRDefault="00202168" w:rsidP="009E3E1E">
      <w:pPr>
        <w:pBdr>
          <w:top w:val="nil"/>
          <w:left w:val="nil"/>
          <w:bottom w:val="nil"/>
          <w:right w:val="nil"/>
          <w:between w:val="nil"/>
          <w:bar w:val="nil"/>
        </w:pBdr>
        <w:spacing w:after="0"/>
        <w:ind w:left="709" w:hanging="709"/>
        <w:jc w:val="both"/>
        <w:rPr>
          <w:rFonts w:ascii="Times New Roman" w:eastAsia="Times New Roman" w:hAnsi="Times New Roman" w:cs="Times New Roman"/>
          <w:color w:val="000000"/>
          <w:u w:color="000000"/>
          <w:bdr w:val="nil"/>
          <w:lang w:val="en-US"/>
        </w:rPr>
      </w:pPr>
      <w:r w:rsidRPr="0082571A">
        <w:rPr>
          <w:rFonts w:ascii="Times New Roman" w:eastAsia="Calibri" w:hAnsi="Times New Roman" w:cs="Times New Roman"/>
          <w:color w:val="000000"/>
          <w:u w:color="000000"/>
          <w:bdr w:val="nil"/>
          <w:lang w:val="pt-PT"/>
        </w:rPr>
        <w:t>Maciel, M.A.M., A.C. Pinto</w:t>
      </w:r>
      <w:r w:rsidR="00FC6846">
        <w:rPr>
          <w:rFonts w:ascii="Times New Roman" w:eastAsia="Calibri" w:hAnsi="Times New Roman" w:cs="Times New Roman"/>
          <w:color w:val="000000"/>
          <w:u w:color="000000"/>
          <w:bdr w:val="nil"/>
          <w:lang w:val="pt-PT"/>
        </w:rPr>
        <w:t>, S.N. Brabo and M.N. Da Silva .1998</w:t>
      </w:r>
      <w:r w:rsidRPr="0082571A">
        <w:rPr>
          <w:rFonts w:ascii="Times New Roman" w:eastAsia="Calibri" w:hAnsi="Times New Roman" w:cs="Times New Roman"/>
          <w:color w:val="000000"/>
          <w:u w:color="000000"/>
          <w:bdr w:val="nil"/>
          <w:lang w:val="pt-PT"/>
        </w:rPr>
        <w:t>. Terpenoids from croton cajucara. Phytochem., 49(3): 823-828.</w:t>
      </w:r>
    </w:p>
    <w:p w:rsidR="00202168" w:rsidRDefault="00202168" w:rsidP="009E3E1E">
      <w:pPr>
        <w:pBdr>
          <w:top w:val="nil"/>
          <w:left w:val="nil"/>
          <w:bottom w:val="nil"/>
          <w:right w:val="nil"/>
          <w:between w:val="nil"/>
          <w:bar w:val="nil"/>
        </w:pBdr>
        <w:spacing w:after="0"/>
        <w:ind w:left="709" w:hanging="709"/>
        <w:rPr>
          <w:rFonts w:ascii="Times New Roman" w:eastAsia="Calibri" w:hAnsi="Times New Roman" w:cs="Times New Roman"/>
          <w:color w:val="000000"/>
          <w:u w:color="000000"/>
          <w:bdr w:val="nil"/>
          <w:lang w:val="en-US"/>
        </w:rPr>
      </w:pPr>
      <w:proofErr w:type="spellStart"/>
      <w:proofErr w:type="gramStart"/>
      <w:r w:rsidRPr="0082571A">
        <w:rPr>
          <w:rFonts w:ascii="Times New Roman" w:eastAsia="Calibri" w:hAnsi="Times New Roman" w:cs="Times New Roman"/>
          <w:color w:val="000000"/>
          <w:u w:color="000000"/>
          <w:bdr w:val="nil"/>
          <w:lang w:val="en-US"/>
        </w:rPr>
        <w:t>Murashige</w:t>
      </w:r>
      <w:proofErr w:type="spellEnd"/>
      <w:r w:rsidRPr="0082571A">
        <w:rPr>
          <w:rFonts w:ascii="Times New Roman" w:eastAsia="Calibri" w:hAnsi="Times New Roman" w:cs="Times New Roman"/>
          <w:color w:val="000000"/>
          <w:u w:color="000000"/>
          <w:bdr w:val="nil"/>
          <w:lang w:val="en-US"/>
        </w:rPr>
        <w:t>, T. and F. Skoog.</w:t>
      </w:r>
      <w:proofErr w:type="gramEnd"/>
      <w:r w:rsidRPr="0082571A">
        <w:rPr>
          <w:rFonts w:ascii="Times New Roman" w:eastAsia="Calibri" w:hAnsi="Times New Roman" w:cs="Times New Roman"/>
          <w:color w:val="000000"/>
          <w:u w:color="000000"/>
          <w:bdr w:val="nil"/>
          <w:lang w:val="en-US"/>
        </w:rPr>
        <w:t xml:space="preserve"> 1962. A revised medium for rapid growth and bioassays with tobacco tissue cultures. Physiol. Plant., 15: 473-497.</w:t>
      </w:r>
    </w:p>
    <w:p w:rsidR="00202168" w:rsidRPr="0082571A" w:rsidRDefault="00FC6846" w:rsidP="009E3E1E">
      <w:pPr>
        <w:pBdr>
          <w:top w:val="nil"/>
          <w:left w:val="nil"/>
          <w:bottom w:val="nil"/>
          <w:right w:val="nil"/>
          <w:between w:val="nil"/>
          <w:bar w:val="nil"/>
        </w:pBdr>
        <w:spacing w:after="0"/>
        <w:ind w:left="709" w:hanging="709"/>
        <w:rPr>
          <w:rFonts w:ascii="Times New Roman" w:eastAsia="Times New Roman" w:hAnsi="Times New Roman" w:cs="Times New Roman"/>
          <w:color w:val="000000"/>
          <w:u w:color="000000"/>
          <w:bdr w:val="nil"/>
          <w:lang w:val="en-US"/>
        </w:rPr>
      </w:pPr>
      <w:proofErr w:type="spellStart"/>
      <w:r>
        <w:rPr>
          <w:rFonts w:ascii="Times New Roman" w:eastAsia="Calibri" w:hAnsi="Times New Roman" w:cs="Times New Roman"/>
          <w:color w:val="000000"/>
          <w:u w:color="000000"/>
          <w:bdr w:val="nil"/>
          <w:lang w:val="en-US"/>
        </w:rPr>
        <w:t>Nasib</w:t>
      </w:r>
      <w:proofErr w:type="spellEnd"/>
      <w:r>
        <w:rPr>
          <w:rFonts w:ascii="Times New Roman" w:eastAsia="Calibri" w:hAnsi="Times New Roman" w:cs="Times New Roman"/>
          <w:color w:val="000000"/>
          <w:u w:color="000000"/>
          <w:bdr w:val="nil"/>
          <w:lang w:val="en-US"/>
        </w:rPr>
        <w:t>, A., Ali, K., &amp; Khan, S. 2008</w:t>
      </w:r>
      <w:r w:rsidR="00202168" w:rsidRPr="0082571A">
        <w:rPr>
          <w:rFonts w:ascii="Times New Roman" w:eastAsia="Calibri" w:hAnsi="Times New Roman" w:cs="Times New Roman"/>
          <w:color w:val="000000"/>
          <w:u w:color="000000"/>
          <w:bdr w:val="nil"/>
          <w:lang w:val="en-US"/>
        </w:rPr>
        <w:t xml:space="preserve">. </w:t>
      </w:r>
      <w:proofErr w:type="gramStart"/>
      <w:r w:rsidR="00202168" w:rsidRPr="0082571A">
        <w:rPr>
          <w:rFonts w:ascii="Times New Roman" w:eastAsia="Calibri" w:hAnsi="Times New Roman" w:cs="Times New Roman"/>
          <w:color w:val="000000"/>
          <w:u w:color="000000"/>
          <w:bdr w:val="nil"/>
          <w:lang w:val="en-US"/>
        </w:rPr>
        <w:t>In vitro propagation of croton (</w:t>
      </w:r>
      <w:proofErr w:type="spellStart"/>
      <w:r w:rsidR="00202168" w:rsidRPr="00202168">
        <w:rPr>
          <w:rFonts w:ascii="Times New Roman" w:eastAsia="Calibri" w:hAnsi="Times New Roman" w:cs="Times New Roman"/>
          <w:i/>
          <w:color w:val="000000"/>
          <w:u w:color="000000"/>
          <w:bdr w:val="nil"/>
          <w:lang w:val="en-US"/>
        </w:rPr>
        <w:t>Codiaeum</w:t>
      </w:r>
      <w:proofErr w:type="spellEnd"/>
      <w:r w:rsidR="00202168" w:rsidRPr="00202168">
        <w:rPr>
          <w:rFonts w:ascii="Times New Roman" w:eastAsia="Calibri" w:hAnsi="Times New Roman" w:cs="Times New Roman"/>
          <w:i/>
          <w:color w:val="000000"/>
          <w:u w:color="000000"/>
          <w:bdr w:val="nil"/>
          <w:lang w:val="en-US"/>
        </w:rPr>
        <w:t xml:space="preserve"> </w:t>
      </w:r>
      <w:proofErr w:type="spellStart"/>
      <w:r w:rsidR="00202168" w:rsidRPr="00202168">
        <w:rPr>
          <w:rFonts w:ascii="Times New Roman" w:eastAsia="Calibri" w:hAnsi="Times New Roman" w:cs="Times New Roman"/>
          <w:i/>
          <w:color w:val="000000"/>
          <w:u w:color="000000"/>
          <w:bdr w:val="nil"/>
          <w:lang w:val="en-US"/>
        </w:rPr>
        <w:t>variegatum</w:t>
      </w:r>
      <w:proofErr w:type="spellEnd"/>
      <w:r w:rsidR="00202168" w:rsidRPr="0082571A">
        <w:rPr>
          <w:rFonts w:ascii="Times New Roman" w:eastAsia="Calibri" w:hAnsi="Times New Roman" w:cs="Times New Roman"/>
          <w:color w:val="000000"/>
          <w:u w:color="000000"/>
          <w:bdr w:val="nil"/>
          <w:lang w:val="en-US"/>
        </w:rPr>
        <w:t>).</w:t>
      </w:r>
      <w:proofErr w:type="gramEnd"/>
      <w:r w:rsidR="00202168" w:rsidRPr="0082571A">
        <w:rPr>
          <w:rFonts w:ascii="Times New Roman" w:eastAsia="Calibri" w:hAnsi="Times New Roman" w:cs="Times New Roman"/>
          <w:color w:val="000000"/>
          <w:u w:color="000000"/>
          <w:bdr w:val="nil"/>
          <w:lang w:val="en-US"/>
        </w:rPr>
        <w:t xml:space="preserve"> </w:t>
      </w:r>
      <w:proofErr w:type="gramStart"/>
      <w:r w:rsidR="00202168" w:rsidRPr="0082571A">
        <w:rPr>
          <w:rFonts w:ascii="Times New Roman" w:eastAsia="Calibri" w:hAnsi="Times New Roman" w:cs="Times New Roman"/>
          <w:color w:val="000000"/>
          <w:u w:color="000000"/>
          <w:bdr w:val="nil"/>
          <w:lang w:val="en-US"/>
        </w:rPr>
        <w:t>Pakistan Journal of Botany, 40(1), 99.</w:t>
      </w:r>
      <w:proofErr w:type="gramEnd"/>
    </w:p>
    <w:p w:rsidR="00202168" w:rsidRDefault="00202168" w:rsidP="00C15FC5">
      <w:pPr>
        <w:pBdr>
          <w:top w:val="nil"/>
          <w:left w:val="nil"/>
          <w:bottom w:val="nil"/>
          <w:right w:val="nil"/>
          <w:between w:val="nil"/>
          <w:bar w:val="nil"/>
        </w:pBdr>
        <w:spacing w:after="0"/>
        <w:ind w:left="709" w:hanging="709"/>
        <w:rPr>
          <w:rFonts w:ascii="Times New Roman" w:eastAsia="Calibri" w:hAnsi="Times New Roman" w:cs="Times New Roman"/>
          <w:color w:val="000000"/>
          <w:u w:color="000000"/>
          <w:bdr w:val="nil"/>
          <w:lang w:val="en-US"/>
        </w:rPr>
      </w:pPr>
      <w:proofErr w:type="spellStart"/>
      <w:proofErr w:type="gramStart"/>
      <w:r w:rsidRPr="00C15FC5">
        <w:rPr>
          <w:rFonts w:ascii="Times New Roman" w:eastAsia="Calibri" w:hAnsi="Times New Roman" w:cs="Times New Roman"/>
          <w:color w:val="000000"/>
          <w:u w:color="000000"/>
          <w:bdr w:val="nil"/>
          <w:lang w:val="en-US"/>
        </w:rPr>
        <w:t>Orlikowska</w:t>
      </w:r>
      <w:proofErr w:type="spellEnd"/>
      <w:r w:rsidRPr="00C15FC5">
        <w:rPr>
          <w:rFonts w:ascii="Times New Roman" w:eastAsia="Calibri" w:hAnsi="Times New Roman" w:cs="Times New Roman"/>
          <w:color w:val="000000"/>
          <w:u w:color="000000"/>
          <w:bdr w:val="nil"/>
          <w:lang w:val="en-US"/>
        </w:rPr>
        <w:t xml:space="preserve">, T., I. </w:t>
      </w:r>
      <w:proofErr w:type="spellStart"/>
      <w:r w:rsidRPr="00C15FC5">
        <w:rPr>
          <w:rFonts w:ascii="Times New Roman" w:eastAsia="Calibri" w:hAnsi="Times New Roman" w:cs="Times New Roman"/>
          <w:color w:val="000000"/>
          <w:u w:color="000000"/>
          <w:bdr w:val="nil"/>
          <w:lang w:val="en-US"/>
        </w:rPr>
        <w:t>Sabata</w:t>
      </w:r>
      <w:proofErr w:type="spellEnd"/>
      <w:r w:rsidRPr="00C15FC5">
        <w:rPr>
          <w:rFonts w:ascii="Times New Roman" w:eastAsia="Calibri" w:hAnsi="Times New Roman" w:cs="Times New Roman"/>
          <w:color w:val="000000"/>
          <w:u w:color="000000"/>
          <w:bdr w:val="nil"/>
          <w:lang w:val="en-US"/>
        </w:rPr>
        <w:t xml:space="preserve"> and D. </w:t>
      </w:r>
      <w:proofErr w:type="spellStart"/>
      <w:r w:rsidRPr="00C15FC5">
        <w:rPr>
          <w:rFonts w:ascii="Times New Roman" w:eastAsia="Calibri" w:hAnsi="Times New Roman" w:cs="Times New Roman"/>
          <w:color w:val="000000"/>
          <w:u w:color="000000"/>
          <w:bdr w:val="nil"/>
          <w:lang w:val="en-US"/>
        </w:rPr>
        <w:t>Kucharska</w:t>
      </w:r>
      <w:proofErr w:type="spellEnd"/>
      <w:r w:rsidRPr="00C15FC5">
        <w:rPr>
          <w:rFonts w:ascii="Times New Roman" w:eastAsia="Calibri" w:hAnsi="Times New Roman" w:cs="Times New Roman"/>
          <w:color w:val="000000"/>
          <w:u w:color="000000"/>
          <w:bdr w:val="nil"/>
          <w:lang w:val="en-US"/>
        </w:rPr>
        <w:t>.</w:t>
      </w:r>
      <w:proofErr w:type="gramEnd"/>
      <w:r w:rsidRPr="00C15FC5">
        <w:rPr>
          <w:rFonts w:ascii="Times New Roman" w:eastAsia="Calibri" w:hAnsi="Times New Roman" w:cs="Times New Roman"/>
          <w:color w:val="000000"/>
          <w:u w:color="000000"/>
          <w:bdr w:val="nil"/>
          <w:lang w:val="en-US"/>
        </w:rPr>
        <w:t xml:space="preserve"> 2000. The effect of</w:t>
      </w:r>
      <w:r>
        <w:rPr>
          <w:rFonts w:ascii="Times New Roman" w:eastAsia="Calibri" w:hAnsi="Times New Roman" w:cs="Times New Roman"/>
          <w:color w:val="000000"/>
          <w:u w:color="000000"/>
          <w:bdr w:val="nil"/>
          <w:lang w:val="en-US"/>
        </w:rPr>
        <w:t xml:space="preserve"> leaf and shoot tip removal and </w:t>
      </w:r>
      <w:r w:rsidRPr="00C15FC5">
        <w:rPr>
          <w:rFonts w:ascii="Times New Roman" w:eastAsia="Calibri" w:hAnsi="Times New Roman" w:cs="Times New Roman"/>
          <w:color w:val="000000"/>
          <w:u w:color="000000"/>
          <w:bdr w:val="nil"/>
          <w:lang w:val="en-US"/>
        </w:rPr>
        <w:t xml:space="preserve">explant orientation on </w:t>
      </w:r>
      <w:proofErr w:type="spellStart"/>
      <w:r w:rsidRPr="00C15FC5">
        <w:rPr>
          <w:rFonts w:ascii="Times New Roman" w:eastAsia="Calibri" w:hAnsi="Times New Roman" w:cs="Times New Roman"/>
          <w:color w:val="000000"/>
          <w:u w:color="000000"/>
          <w:bdr w:val="nil"/>
          <w:lang w:val="en-US"/>
        </w:rPr>
        <w:t>adillary</w:t>
      </w:r>
      <w:proofErr w:type="spellEnd"/>
      <w:r w:rsidRPr="00C15FC5">
        <w:rPr>
          <w:rFonts w:ascii="Times New Roman" w:eastAsia="Calibri" w:hAnsi="Times New Roman" w:cs="Times New Roman"/>
          <w:color w:val="000000"/>
          <w:u w:color="000000"/>
          <w:bdr w:val="nil"/>
          <w:lang w:val="en-US"/>
        </w:rPr>
        <w:t xml:space="preserve"> </w:t>
      </w:r>
      <w:proofErr w:type="gramStart"/>
      <w:r w:rsidRPr="00C15FC5">
        <w:rPr>
          <w:rFonts w:ascii="Times New Roman" w:eastAsia="Calibri" w:hAnsi="Times New Roman" w:cs="Times New Roman"/>
          <w:color w:val="000000"/>
          <w:u w:color="000000"/>
          <w:bdr w:val="nil"/>
          <w:lang w:val="en-US"/>
        </w:rPr>
        <w:t>shoot</w:t>
      </w:r>
      <w:proofErr w:type="gramEnd"/>
      <w:r w:rsidRPr="00C15FC5">
        <w:rPr>
          <w:rFonts w:ascii="Times New Roman" w:eastAsia="Calibri" w:hAnsi="Times New Roman" w:cs="Times New Roman"/>
          <w:color w:val="000000"/>
          <w:u w:color="000000"/>
          <w:bdr w:val="nil"/>
          <w:lang w:val="en-US"/>
        </w:rPr>
        <w:t xml:space="preserve"> proliferation of </w:t>
      </w:r>
      <w:proofErr w:type="spellStart"/>
      <w:r w:rsidRPr="00202168">
        <w:rPr>
          <w:rFonts w:ascii="Times New Roman" w:eastAsia="Calibri" w:hAnsi="Times New Roman" w:cs="Times New Roman"/>
          <w:i/>
          <w:color w:val="000000"/>
          <w:u w:color="000000"/>
          <w:bdr w:val="nil"/>
          <w:lang w:val="en-US"/>
        </w:rPr>
        <w:t>Codiaeum</w:t>
      </w:r>
      <w:proofErr w:type="spellEnd"/>
      <w:r w:rsidRPr="00202168">
        <w:rPr>
          <w:rFonts w:ascii="Times New Roman" w:eastAsia="Calibri" w:hAnsi="Times New Roman" w:cs="Times New Roman"/>
          <w:i/>
          <w:color w:val="000000"/>
          <w:u w:color="000000"/>
          <w:bdr w:val="nil"/>
          <w:lang w:val="en-US"/>
        </w:rPr>
        <w:t xml:space="preserve"> </w:t>
      </w:r>
      <w:proofErr w:type="spellStart"/>
      <w:r w:rsidRPr="00202168">
        <w:rPr>
          <w:rFonts w:ascii="Times New Roman" w:eastAsia="Calibri" w:hAnsi="Times New Roman" w:cs="Times New Roman"/>
          <w:i/>
          <w:color w:val="000000"/>
          <w:u w:color="000000"/>
          <w:bdr w:val="nil"/>
          <w:lang w:val="en-US"/>
        </w:rPr>
        <w:t>variegatum</w:t>
      </w:r>
      <w:proofErr w:type="spellEnd"/>
      <w:r>
        <w:rPr>
          <w:rFonts w:ascii="Times New Roman" w:eastAsia="Calibri" w:hAnsi="Times New Roman" w:cs="Times New Roman"/>
          <w:color w:val="000000"/>
          <w:u w:color="000000"/>
          <w:bdr w:val="nil"/>
          <w:lang w:val="en-US"/>
        </w:rPr>
        <w:t xml:space="preserve"> Blume var. </w:t>
      </w:r>
      <w:proofErr w:type="spellStart"/>
      <w:r>
        <w:rPr>
          <w:rFonts w:ascii="Times New Roman" w:eastAsia="Calibri" w:hAnsi="Times New Roman" w:cs="Times New Roman"/>
          <w:color w:val="000000"/>
          <w:u w:color="000000"/>
          <w:bdr w:val="nil"/>
          <w:lang w:val="en-US"/>
        </w:rPr>
        <w:t>pictum</w:t>
      </w:r>
      <w:proofErr w:type="spellEnd"/>
      <w:r>
        <w:rPr>
          <w:rFonts w:ascii="Times New Roman" w:eastAsia="Calibri" w:hAnsi="Times New Roman" w:cs="Times New Roman"/>
          <w:color w:val="000000"/>
          <w:u w:color="000000"/>
          <w:bdr w:val="nil"/>
          <w:lang w:val="en-US"/>
        </w:rPr>
        <w:t xml:space="preserve"> </w:t>
      </w:r>
      <w:proofErr w:type="spellStart"/>
      <w:r w:rsidRPr="00C15FC5">
        <w:rPr>
          <w:rFonts w:ascii="Times New Roman" w:eastAsia="Calibri" w:hAnsi="Times New Roman" w:cs="Times New Roman"/>
          <w:color w:val="000000"/>
          <w:u w:color="000000"/>
          <w:bdr w:val="nil"/>
          <w:lang w:val="en-US"/>
        </w:rPr>
        <w:t>Muell</w:t>
      </w:r>
      <w:proofErr w:type="spellEnd"/>
      <w:r w:rsidRPr="00C15FC5">
        <w:rPr>
          <w:rFonts w:ascii="Times New Roman" w:eastAsia="Calibri" w:hAnsi="Times New Roman" w:cs="Times New Roman"/>
          <w:color w:val="000000"/>
          <w:u w:color="000000"/>
          <w:bdr w:val="nil"/>
          <w:lang w:val="en-US"/>
        </w:rPr>
        <w:t xml:space="preserve">. Arg. Cv. Excellent. Sci. </w:t>
      </w:r>
      <w:proofErr w:type="spellStart"/>
      <w:r w:rsidRPr="00C15FC5">
        <w:rPr>
          <w:rFonts w:ascii="Times New Roman" w:eastAsia="Calibri" w:hAnsi="Times New Roman" w:cs="Times New Roman"/>
          <w:color w:val="000000"/>
          <w:u w:color="000000"/>
          <w:bdr w:val="nil"/>
          <w:lang w:val="en-US"/>
        </w:rPr>
        <w:t>Horti</w:t>
      </w:r>
      <w:proofErr w:type="spellEnd"/>
      <w:r w:rsidRPr="00C15FC5">
        <w:rPr>
          <w:rFonts w:ascii="Times New Roman" w:eastAsia="Calibri" w:hAnsi="Times New Roman" w:cs="Times New Roman"/>
          <w:color w:val="000000"/>
          <w:u w:color="000000"/>
          <w:bdr w:val="nil"/>
          <w:lang w:val="en-US"/>
        </w:rPr>
        <w:t>., 85(1-2): 103-111.</w:t>
      </w:r>
    </w:p>
    <w:p w:rsidR="00202168" w:rsidRPr="0082571A" w:rsidRDefault="00202168" w:rsidP="009E3E1E">
      <w:pPr>
        <w:pBdr>
          <w:top w:val="nil"/>
          <w:left w:val="nil"/>
          <w:bottom w:val="nil"/>
          <w:right w:val="nil"/>
          <w:between w:val="nil"/>
          <w:bar w:val="nil"/>
        </w:pBdr>
        <w:spacing w:after="0"/>
        <w:ind w:left="709" w:hanging="709"/>
        <w:rPr>
          <w:rFonts w:ascii="Times New Roman" w:eastAsia="Times New Roman" w:hAnsi="Times New Roman" w:cs="Times New Roman"/>
          <w:color w:val="000000"/>
          <w:u w:color="000000"/>
          <w:bdr w:val="nil"/>
          <w:lang w:val="en-US"/>
        </w:rPr>
      </w:pPr>
      <w:r w:rsidRPr="0082571A">
        <w:rPr>
          <w:rFonts w:ascii="Times New Roman" w:eastAsia="Calibri" w:hAnsi="Times New Roman" w:cs="Times New Roman"/>
          <w:color w:val="000000"/>
          <w:u w:color="000000"/>
          <w:bdr w:val="nil"/>
          <w:lang w:val="es-ES_tradnl"/>
        </w:rPr>
        <w:t>Puebla, P., J.L. Lopez, M. Guerrero, M.L. Mart</w:t>
      </w:r>
      <w:proofErr w:type="spellStart"/>
      <w:r w:rsidRPr="0082571A">
        <w:rPr>
          <w:rFonts w:ascii="Times New Roman" w:eastAsia="Calibri" w:hAnsi="Times New Roman" w:cs="Times New Roman"/>
          <w:color w:val="000000"/>
          <w:u w:color="000000"/>
          <w:bdr w:val="nil"/>
          <w:lang w:val="en-US"/>
        </w:rPr>
        <w:t>ı</w:t>
      </w:r>
      <w:proofErr w:type="spellEnd"/>
      <w:r w:rsidRPr="0082571A">
        <w:rPr>
          <w:rFonts w:ascii="Times New Roman" w:eastAsia="Calibri" w:hAnsi="Times New Roman" w:cs="Times New Roman"/>
          <w:color w:val="000000"/>
          <w:u w:color="000000"/>
          <w:bdr w:val="nil"/>
          <w:lang w:val="en-US"/>
        </w:rPr>
        <w:t>́</w:t>
      </w:r>
      <w:r w:rsidRPr="0082571A">
        <w:rPr>
          <w:rFonts w:ascii="Times New Roman" w:eastAsia="Calibri" w:hAnsi="Times New Roman" w:cs="Times New Roman"/>
          <w:color w:val="000000"/>
          <w:u w:color="000000"/>
          <w:bdr w:val="nil"/>
          <w:lang w:val="it-IT"/>
        </w:rPr>
        <w:t xml:space="preserve">, L. </w:t>
      </w:r>
      <w:r w:rsidR="00FC6846">
        <w:rPr>
          <w:rFonts w:ascii="Times New Roman" w:eastAsia="Calibri" w:hAnsi="Times New Roman" w:cs="Times New Roman"/>
          <w:color w:val="000000"/>
          <w:u w:color="000000"/>
          <w:bdr w:val="nil"/>
          <w:lang w:val="it-IT"/>
        </w:rPr>
        <w:t>San Roman and A. San Feliciano .2003</w:t>
      </w:r>
      <w:r w:rsidRPr="0082571A">
        <w:rPr>
          <w:rFonts w:ascii="Times New Roman" w:eastAsia="Calibri" w:hAnsi="Times New Roman" w:cs="Times New Roman"/>
          <w:color w:val="000000"/>
          <w:u w:color="000000"/>
          <w:bdr w:val="nil"/>
          <w:lang w:val="it-IT"/>
        </w:rPr>
        <w:t>. Neo-clerodane diterpenoids from Croton schiedeanus. Phytochem., 62(4): 551-555.</w:t>
      </w:r>
    </w:p>
    <w:p w:rsidR="00202168" w:rsidRPr="0082571A" w:rsidRDefault="00202168" w:rsidP="00936564">
      <w:pPr>
        <w:pBdr>
          <w:top w:val="nil"/>
          <w:left w:val="nil"/>
          <w:bottom w:val="nil"/>
          <w:right w:val="nil"/>
          <w:between w:val="nil"/>
          <w:bar w:val="nil"/>
        </w:pBdr>
        <w:spacing w:after="0"/>
        <w:ind w:left="709" w:hanging="709"/>
        <w:rPr>
          <w:rFonts w:ascii="Times New Roman" w:eastAsia="Times New Roman" w:hAnsi="Times New Roman" w:cs="Times New Roman"/>
          <w:color w:val="000000"/>
          <w:u w:color="000000"/>
          <w:bdr w:val="nil"/>
          <w:lang w:val="en-US"/>
        </w:rPr>
      </w:pPr>
      <w:r w:rsidRPr="0082571A">
        <w:rPr>
          <w:rFonts w:ascii="Times New Roman" w:eastAsia="Calibri" w:hAnsi="Times New Roman" w:cs="Times New Roman"/>
          <w:color w:val="000000"/>
          <w:u w:color="000000"/>
          <w:bdr w:val="nil"/>
          <w:lang w:val="en-US"/>
        </w:rPr>
        <w:t>Rout, G. R.</w:t>
      </w:r>
      <w:r w:rsidR="00FC6846">
        <w:rPr>
          <w:rFonts w:ascii="Times New Roman" w:eastAsia="Calibri" w:hAnsi="Times New Roman" w:cs="Times New Roman"/>
          <w:color w:val="000000"/>
          <w:u w:color="000000"/>
          <w:bdr w:val="nil"/>
          <w:lang w:val="en-US"/>
        </w:rPr>
        <w:t xml:space="preserve">, </w:t>
      </w:r>
      <w:proofErr w:type="spellStart"/>
      <w:r w:rsidR="00FC6846">
        <w:rPr>
          <w:rFonts w:ascii="Times New Roman" w:eastAsia="Calibri" w:hAnsi="Times New Roman" w:cs="Times New Roman"/>
          <w:color w:val="000000"/>
          <w:u w:color="000000"/>
          <w:bdr w:val="nil"/>
          <w:lang w:val="en-US"/>
        </w:rPr>
        <w:t>Mohapatra</w:t>
      </w:r>
      <w:proofErr w:type="spellEnd"/>
      <w:r w:rsidR="00FC6846">
        <w:rPr>
          <w:rFonts w:ascii="Times New Roman" w:eastAsia="Calibri" w:hAnsi="Times New Roman" w:cs="Times New Roman"/>
          <w:color w:val="000000"/>
          <w:u w:color="000000"/>
          <w:bdr w:val="nil"/>
          <w:lang w:val="en-US"/>
        </w:rPr>
        <w:t>, A., &amp; Jain, S. M. 2006</w:t>
      </w:r>
      <w:r w:rsidRPr="0082571A">
        <w:rPr>
          <w:rFonts w:ascii="Times New Roman" w:eastAsia="Calibri" w:hAnsi="Times New Roman" w:cs="Times New Roman"/>
          <w:color w:val="000000"/>
          <w:u w:color="000000"/>
          <w:bdr w:val="nil"/>
          <w:lang w:val="en-US"/>
        </w:rPr>
        <w:t>. Tissue culture of ornamental pot plant: A critical review on present scenario and future prospects. Biotechnology advances</w:t>
      </w:r>
      <w:proofErr w:type="gramStart"/>
      <w:r w:rsidRPr="0082571A">
        <w:rPr>
          <w:rFonts w:ascii="Times New Roman" w:eastAsia="Calibri" w:hAnsi="Times New Roman" w:cs="Times New Roman"/>
          <w:color w:val="000000"/>
          <w:u w:color="000000"/>
          <w:bdr w:val="nil"/>
          <w:lang w:val="en-US"/>
        </w:rPr>
        <w:t xml:space="preserve">, </w:t>
      </w:r>
      <w:r>
        <w:rPr>
          <w:rFonts w:ascii="Times New Roman" w:eastAsia="Times New Roman" w:hAnsi="Times New Roman" w:cs="Times New Roman"/>
          <w:color w:val="000000"/>
          <w:u w:color="000000"/>
          <w:bdr w:val="nil"/>
          <w:lang w:val="en-US"/>
        </w:rPr>
        <w:t xml:space="preserve"> </w:t>
      </w:r>
      <w:r w:rsidRPr="0082571A">
        <w:rPr>
          <w:rFonts w:ascii="Times New Roman" w:eastAsia="Calibri" w:hAnsi="Times New Roman" w:cs="Times New Roman"/>
          <w:color w:val="000000"/>
          <w:u w:color="000000"/>
          <w:bdr w:val="nil"/>
          <w:lang w:val="en-US"/>
        </w:rPr>
        <w:t>24</w:t>
      </w:r>
      <w:proofErr w:type="gramEnd"/>
      <w:r w:rsidRPr="0082571A">
        <w:rPr>
          <w:rFonts w:ascii="Times New Roman" w:eastAsia="Calibri" w:hAnsi="Times New Roman" w:cs="Times New Roman"/>
          <w:color w:val="000000"/>
          <w:u w:color="000000"/>
          <w:bdr w:val="nil"/>
          <w:lang w:val="en-US"/>
        </w:rPr>
        <w:t>(6), 531-560.</w:t>
      </w:r>
    </w:p>
    <w:p w:rsidR="00202168" w:rsidRPr="008B08D3" w:rsidRDefault="00202168">
      <w:pPr>
        <w:rPr>
          <w:rFonts w:ascii="Times New Roman" w:hAnsi="Times New Roman" w:cs="Times New Roman"/>
        </w:rPr>
      </w:pPr>
      <w:proofErr w:type="spellStart"/>
      <w:r w:rsidRPr="008B08D3">
        <w:rPr>
          <w:rFonts w:ascii="Times New Roman" w:hAnsi="Times New Roman" w:cs="Times New Roman"/>
        </w:rPr>
        <w:t>Rutkowska-Krause</w:t>
      </w:r>
      <w:proofErr w:type="spellEnd"/>
      <w:r w:rsidRPr="008B08D3">
        <w:rPr>
          <w:rFonts w:ascii="Times New Roman" w:hAnsi="Times New Roman" w:cs="Times New Roman"/>
        </w:rPr>
        <w:t>, I</w:t>
      </w:r>
      <w:proofErr w:type="gramStart"/>
      <w:r w:rsidRPr="008B08D3">
        <w:rPr>
          <w:rFonts w:ascii="Times New Roman" w:hAnsi="Times New Roman" w:cs="Times New Roman"/>
        </w:rPr>
        <w:t>.,</w:t>
      </w:r>
      <w:proofErr w:type="gramEnd"/>
      <w:r w:rsidRPr="008B08D3">
        <w:rPr>
          <w:rFonts w:ascii="Times New Roman" w:hAnsi="Times New Roman" w:cs="Times New Roman"/>
        </w:rPr>
        <w:t xml:space="preserve"> </w:t>
      </w:r>
      <w:proofErr w:type="spellStart"/>
      <w:r w:rsidRPr="008B08D3">
        <w:rPr>
          <w:rFonts w:ascii="Times New Roman" w:hAnsi="Times New Roman" w:cs="Times New Roman"/>
        </w:rPr>
        <w:t>Mankowska</w:t>
      </w:r>
      <w:proofErr w:type="spellEnd"/>
      <w:r w:rsidRPr="008B08D3">
        <w:rPr>
          <w:rFonts w:ascii="Times New Roman" w:hAnsi="Times New Roman" w:cs="Times New Roman"/>
        </w:rPr>
        <w:t>, G.</w:t>
      </w:r>
      <w:r w:rsidR="00FC6846">
        <w:rPr>
          <w:rFonts w:ascii="Times New Roman" w:hAnsi="Times New Roman" w:cs="Times New Roman"/>
        </w:rPr>
        <w:t xml:space="preserve">, </w:t>
      </w:r>
      <w:proofErr w:type="spellStart"/>
      <w:r w:rsidR="00FC6846">
        <w:rPr>
          <w:rFonts w:ascii="Times New Roman" w:hAnsi="Times New Roman" w:cs="Times New Roman"/>
        </w:rPr>
        <w:t>Lukaszewicz</w:t>
      </w:r>
      <w:proofErr w:type="spellEnd"/>
      <w:r w:rsidR="00FC6846">
        <w:rPr>
          <w:rFonts w:ascii="Times New Roman" w:hAnsi="Times New Roman" w:cs="Times New Roman"/>
        </w:rPr>
        <w:t xml:space="preserve">, M., &amp; </w:t>
      </w:r>
      <w:proofErr w:type="spellStart"/>
      <w:r w:rsidR="00FC6846">
        <w:rPr>
          <w:rFonts w:ascii="Times New Roman" w:hAnsi="Times New Roman" w:cs="Times New Roman"/>
        </w:rPr>
        <w:t>Szopa</w:t>
      </w:r>
      <w:proofErr w:type="spellEnd"/>
      <w:r w:rsidR="00FC6846">
        <w:rPr>
          <w:rFonts w:ascii="Times New Roman" w:hAnsi="Times New Roman" w:cs="Times New Roman"/>
        </w:rPr>
        <w:t>, J. 2003</w:t>
      </w:r>
      <w:r w:rsidRPr="008B08D3">
        <w:rPr>
          <w:rFonts w:ascii="Times New Roman" w:hAnsi="Times New Roman" w:cs="Times New Roman"/>
        </w:rPr>
        <w:t xml:space="preserve">. </w:t>
      </w:r>
      <w:proofErr w:type="spellStart"/>
      <w:r w:rsidRPr="008B08D3">
        <w:rPr>
          <w:rFonts w:ascii="Times New Roman" w:hAnsi="Times New Roman" w:cs="Times New Roman"/>
        </w:rPr>
        <w:t>Regeneration</w:t>
      </w:r>
      <w:proofErr w:type="spellEnd"/>
      <w:r w:rsidRPr="008B08D3">
        <w:rPr>
          <w:rFonts w:ascii="Times New Roman" w:hAnsi="Times New Roman" w:cs="Times New Roman"/>
        </w:rPr>
        <w:t xml:space="preserve"> of </w:t>
      </w:r>
      <w:proofErr w:type="spellStart"/>
      <w:r w:rsidRPr="008B08D3">
        <w:rPr>
          <w:rFonts w:ascii="Times New Roman" w:hAnsi="Times New Roman" w:cs="Times New Roman"/>
        </w:rPr>
        <w:t>flax</w:t>
      </w:r>
      <w:proofErr w:type="spellEnd"/>
      <w:r w:rsidRPr="008B08D3">
        <w:rPr>
          <w:rFonts w:ascii="Times New Roman" w:hAnsi="Times New Roman" w:cs="Times New Roman"/>
        </w:rPr>
        <w:t xml:space="preserve"> (</w:t>
      </w:r>
      <w:proofErr w:type="spellStart"/>
      <w:r w:rsidRPr="00202168">
        <w:rPr>
          <w:rFonts w:ascii="Times New Roman" w:hAnsi="Times New Roman" w:cs="Times New Roman"/>
          <w:i/>
        </w:rPr>
        <w:t>Linum</w:t>
      </w:r>
      <w:proofErr w:type="spellEnd"/>
      <w:r w:rsidRPr="00202168">
        <w:rPr>
          <w:rFonts w:ascii="Times New Roman" w:hAnsi="Times New Roman" w:cs="Times New Roman"/>
          <w:i/>
        </w:rPr>
        <w:t xml:space="preserve"> </w:t>
      </w:r>
      <w:proofErr w:type="spellStart"/>
      <w:r w:rsidRPr="00202168">
        <w:rPr>
          <w:rFonts w:ascii="Times New Roman" w:hAnsi="Times New Roman" w:cs="Times New Roman"/>
          <w:i/>
        </w:rPr>
        <w:t>usitatissimum</w:t>
      </w:r>
      <w:proofErr w:type="spellEnd"/>
      <w:r w:rsidRPr="008B08D3">
        <w:rPr>
          <w:rFonts w:ascii="Times New Roman" w:hAnsi="Times New Roman" w:cs="Times New Roman"/>
        </w:rPr>
        <w:t xml:space="preserve"> L.) </w:t>
      </w:r>
      <w:proofErr w:type="spellStart"/>
      <w:r w:rsidRPr="008B08D3">
        <w:rPr>
          <w:rFonts w:ascii="Times New Roman" w:hAnsi="Times New Roman" w:cs="Times New Roman"/>
        </w:rPr>
        <w:t>plants</w:t>
      </w:r>
      <w:proofErr w:type="spellEnd"/>
      <w:r w:rsidRPr="008B08D3">
        <w:rPr>
          <w:rFonts w:ascii="Times New Roman" w:hAnsi="Times New Roman" w:cs="Times New Roman"/>
        </w:rPr>
        <w:t xml:space="preserve"> </w:t>
      </w:r>
      <w:proofErr w:type="spellStart"/>
      <w:r w:rsidRPr="008B08D3">
        <w:rPr>
          <w:rFonts w:ascii="Times New Roman" w:hAnsi="Times New Roman" w:cs="Times New Roman"/>
        </w:rPr>
        <w:t>from</w:t>
      </w:r>
      <w:proofErr w:type="spellEnd"/>
      <w:r w:rsidRPr="008B08D3">
        <w:rPr>
          <w:rFonts w:ascii="Times New Roman" w:hAnsi="Times New Roman" w:cs="Times New Roman"/>
        </w:rPr>
        <w:t xml:space="preserve"> </w:t>
      </w:r>
      <w:proofErr w:type="spellStart"/>
      <w:r w:rsidRPr="008B08D3">
        <w:rPr>
          <w:rFonts w:ascii="Times New Roman" w:hAnsi="Times New Roman" w:cs="Times New Roman"/>
        </w:rPr>
        <w:t>anther</w:t>
      </w:r>
      <w:proofErr w:type="spellEnd"/>
      <w:r w:rsidRPr="008B08D3">
        <w:rPr>
          <w:rFonts w:ascii="Times New Roman" w:hAnsi="Times New Roman" w:cs="Times New Roman"/>
        </w:rPr>
        <w:t xml:space="preserve"> </w:t>
      </w:r>
      <w:proofErr w:type="spellStart"/>
      <w:r w:rsidRPr="008B08D3">
        <w:rPr>
          <w:rFonts w:ascii="Times New Roman" w:hAnsi="Times New Roman" w:cs="Times New Roman"/>
        </w:rPr>
        <w:t>culture</w:t>
      </w:r>
      <w:proofErr w:type="spellEnd"/>
      <w:r w:rsidRPr="008B08D3">
        <w:rPr>
          <w:rFonts w:ascii="Times New Roman" w:hAnsi="Times New Roman" w:cs="Times New Roman"/>
        </w:rPr>
        <w:t xml:space="preserve"> </w:t>
      </w:r>
      <w:proofErr w:type="spellStart"/>
      <w:r w:rsidRPr="008B08D3">
        <w:rPr>
          <w:rFonts w:ascii="Times New Roman" w:hAnsi="Times New Roman" w:cs="Times New Roman"/>
        </w:rPr>
        <w:t>and</w:t>
      </w:r>
      <w:proofErr w:type="spellEnd"/>
      <w:r w:rsidRPr="008B08D3">
        <w:rPr>
          <w:rFonts w:ascii="Times New Roman" w:hAnsi="Times New Roman" w:cs="Times New Roman"/>
        </w:rPr>
        <w:t xml:space="preserve"> </w:t>
      </w:r>
      <w:proofErr w:type="spellStart"/>
      <w:r w:rsidRPr="008B08D3">
        <w:rPr>
          <w:rFonts w:ascii="Times New Roman" w:hAnsi="Times New Roman" w:cs="Times New Roman"/>
        </w:rPr>
        <w:t>somatic</w:t>
      </w:r>
      <w:proofErr w:type="spellEnd"/>
      <w:r w:rsidRPr="008B08D3">
        <w:rPr>
          <w:rFonts w:ascii="Times New Roman" w:hAnsi="Times New Roman" w:cs="Times New Roman"/>
        </w:rPr>
        <w:t xml:space="preserve"> </w:t>
      </w:r>
      <w:proofErr w:type="spellStart"/>
      <w:r w:rsidRPr="008B08D3">
        <w:rPr>
          <w:rFonts w:ascii="Times New Roman" w:hAnsi="Times New Roman" w:cs="Times New Roman"/>
        </w:rPr>
        <w:t>tissue</w:t>
      </w:r>
      <w:proofErr w:type="spellEnd"/>
      <w:r w:rsidRPr="008B08D3">
        <w:rPr>
          <w:rFonts w:ascii="Times New Roman" w:hAnsi="Times New Roman" w:cs="Times New Roman"/>
        </w:rPr>
        <w:t xml:space="preserve"> </w:t>
      </w:r>
      <w:proofErr w:type="spellStart"/>
      <w:r w:rsidRPr="008B08D3">
        <w:rPr>
          <w:rFonts w:ascii="Times New Roman" w:hAnsi="Times New Roman" w:cs="Times New Roman"/>
        </w:rPr>
        <w:t>with</w:t>
      </w:r>
      <w:proofErr w:type="spellEnd"/>
      <w:r w:rsidRPr="008B08D3">
        <w:rPr>
          <w:rFonts w:ascii="Times New Roman" w:hAnsi="Times New Roman" w:cs="Times New Roman"/>
        </w:rPr>
        <w:t xml:space="preserve"> </w:t>
      </w:r>
      <w:proofErr w:type="spellStart"/>
      <w:r w:rsidRPr="008B08D3">
        <w:rPr>
          <w:rFonts w:ascii="Times New Roman" w:hAnsi="Times New Roman" w:cs="Times New Roman"/>
        </w:rPr>
        <w:t>increased</w:t>
      </w:r>
      <w:proofErr w:type="spellEnd"/>
      <w:r w:rsidRPr="008B08D3">
        <w:rPr>
          <w:rFonts w:ascii="Times New Roman" w:hAnsi="Times New Roman" w:cs="Times New Roman"/>
        </w:rPr>
        <w:t xml:space="preserve"> </w:t>
      </w:r>
      <w:proofErr w:type="spellStart"/>
      <w:r w:rsidRPr="008B08D3">
        <w:rPr>
          <w:rFonts w:ascii="Times New Roman" w:hAnsi="Times New Roman" w:cs="Times New Roman"/>
        </w:rPr>
        <w:t>resistance</w:t>
      </w:r>
      <w:proofErr w:type="spellEnd"/>
      <w:r w:rsidRPr="008B08D3">
        <w:rPr>
          <w:rFonts w:ascii="Times New Roman" w:hAnsi="Times New Roman" w:cs="Times New Roman"/>
        </w:rPr>
        <w:t xml:space="preserve"> </w:t>
      </w:r>
      <w:proofErr w:type="spellStart"/>
      <w:r w:rsidRPr="008B08D3">
        <w:rPr>
          <w:rFonts w:ascii="Times New Roman" w:hAnsi="Times New Roman" w:cs="Times New Roman"/>
        </w:rPr>
        <w:t>to</w:t>
      </w:r>
      <w:proofErr w:type="spellEnd"/>
      <w:r w:rsidRPr="008B08D3">
        <w:rPr>
          <w:rFonts w:ascii="Times New Roman" w:hAnsi="Times New Roman" w:cs="Times New Roman"/>
        </w:rPr>
        <w:t xml:space="preserve"> </w:t>
      </w:r>
      <w:proofErr w:type="spellStart"/>
      <w:r w:rsidRPr="008B08D3">
        <w:rPr>
          <w:rFonts w:ascii="Times New Roman" w:hAnsi="Times New Roman" w:cs="Times New Roman"/>
        </w:rPr>
        <w:t>Fusarium</w:t>
      </w:r>
      <w:proofErr w:type="spellEnd"/>
      <w:r w:rsidRPr="008B08D3">
        <w:rPr>
          <w:rFonts w:ascii="Times New Roman" w:hAnsi="Times New Roman" w:cs="Times New Roman"/>
        </w:rPr>
        <w:t xml:space="preserve"> </w:t>
      </w:r>
      <w:proofErr w:type="spellStart"/>
      <w:r w:rsidRPr="008B08D3">
        <w:rPr>
          <w:rFonts w:ascii="Times New Roman" w:hAnsi="Times New Roman" w:cs="Times New Roman"/>
        </w:rPr>
        <w:t>oxysporum</w:t>
      </w:r>
      <w:proofErr w:type="spellEnd"/>
      <w:r w:rsidRPr="008B08D3">
        <w:rPr>
          <w:rFonts w:ascii="Times New Roman" w:hAnsi="Times New Roman" w:cs="Times New Roman"/>
        </w:rPr>
        <w:t xml:space="preserve">. </w:t>
      </w:r>
      <w:proofErr w:type="spellStart"/>
      <w:r w:rsidRPr="008B08D3">
        <w:rPr>
          <w:rFonts w:ascii="Times New Roman" w:hAnsi="Times New Roman" w:cs="Times New Roman"/>
        </w:rPr>
        <w:t>Plant</w:t>
      </w:r>
      <w:proofErr w:type="spellEnd"/>
      <w:r w:rsidRPr="008B08D3">
        <w:rPr>
          <w:rFonts w:ascii="Times New Roman" w:hAnsi="Times New Roman" w:cs="Times New Roman"/>
        </w:rPr>
        <w:t xml:space="preserve"> Cell </w:t>
      </w:r>
      <w:proofErr w:type="spellStart"/>
      <w:r w:rsidRPr="008B08D3">
        <w:rPr>
          <w:rFonts w:ascii="Times New Roman" w:hAnsi="Times New Roman" w:cs="Times New Roman"/>
        </w:rPr>
        <w:t>Reports</w:t>
      </w:r>
      <w:proofErr w:type="spellEnd"/>
      <w:r w:rsidRPr="008B08D3">
        <w:rPr>
          <w:rFonts w:ascii="Times New Roman" w:hAnsi="Times New Roman" w:cs="Times New Roman"/>
        </w:rPr>
        <w:t>, 22(2), 110-116.</w:t>
      </w:r>
    </w:p>
    <w:p w:rsidR="00202168" w:rsidRDefault="00202168" w:rsidP="00C15FC5">
      <w:pPr>
        <w:pBdr>
          <w:top w:val="nil"/>
          <w:left w:val="nil"/>
          <w:bottom w:val="nil"/>
          <w:right w:val="nil"/>
          <w:between w:val="nil"/>
          <w:bar w:val="nil"/>
        </w:pBdr>
        <w:spacing w:after="0"/>
        <w:ind w:left="709" w:hanging="709"/>
        <w:rPr>
          <w:rFonts w:ascii="Times New Roman" w:eastAsia="Calibri" w:hAnsi="Times New Roman" w:cs="Times New Roman"/>
          <w:color w:val="000000"/>
          <w:u w:color="000000"/>
          <w:bdr w:val="nil"/>
          <w:lang w:val="en-US"/>
        </w:rPr>
      </w:pPr>
      <w:proofErr w:type="gramStart"/>
      <w:r w:rsidRPr="006F3301">
        <w:rPr>
          <w:rFonts w:ascii="Times New Roman" w:eastAsia="Calibri" w:hAnsi="Times New Roman" w:cs="Times New Roman"/>
          <w:color w:val="000000"/>
          <w:u w:color="000000"/>
          <w:bdr w:val="nil"/>
          <w:lang w:val="en-US"/>
        </w:rPr>
        <w:t>Shi, J., Zhang, X., Zhang, Y</w:t>
      </w:r>
      <w:r w:rsidR="00FC6846">
        <w:rPr>
          <w:rFonts w:ascii="Times New Roman" w:eastAsia="Calibri" w:hAnsi="Times New Roman" w:cs="Times New Roman"/>
          <w:color w:val="000000"/>
          <w:u w:color="000000"/>
          <w:bdr w:val="nil"/>
          <w:lang w:val="en-US"/>
        </w:rPr>
        <w:t>., Lin, X., Li, B., &amp; Chen, Z. 2020</w:t>
      </w:r>
      <w:r w:rsidRPr="006F3301">
        <w:rPr>
          <w:rFonts w:ascii="Times New Roman" w:eastAsia="Calibri" w:hAnsi="Times New Roman" w:cs="Times New Roman"/>
          <w:color w:val="000000"/>
          <w:u w:color="000000"/>
          <w:bdr w:val="nil"/>
          <w:lang w:val="en-US"/>
        </w:rPr>
        <w:t>.</w:t>
      </w:r>
      <w:proofErr w:type="gramEnd"/>
      <w:r w:rsidRPr="006F3301">
        <w:rPr>
          <w:rFonts w:ascii="Times New Roman" w:eastAsia="Calibri" w:hAnsi="Times New Roman" w:cs="Times New Roman"/>
          <w:color w:val="000000"/>
          <w:u w:color="000000"/>
          <w:bdr w:val="nil"/>
          <w:lang w:val="en-US"/>
        </w:rPr>
        <w:t xml:space="preserve"> Integrated </w:t>
      </w:r>
      <w:proofErr w:type="spellStart"/>
      <w:r w:rsidRPr="006F3301">
        <w:rPr>
          <w:rFonts w:ascii="Times New Roman" w:eastAsia="Calibri" w:hAnsi="Times New Roman" w:cs="Times New Roman"/>
          <w:color w:val="000000"/>
          <w:u w:color="000000"/>
          <w:bdr w:val="nil"/>
          <w:lang w:val="en-US"/>
        </w:rPr>
        <w:t>metabolomic</w:t>
      </w:r>
      <w:proofErr w:type="spellEnd"/>
      <w:r w:rsidRPr="006F3301">
        <w:rPr>
          <w:rFonts w:ascii="Times New Roman" w:eastAsia="Calibri" w:hAnsi="Times New Roman" w:cs="Times New Roman"/>
          <w:color w:val="000000"/>
          <w:u w:color="000000"/>
          <w:bdr w:val="nil"/>
          <w:lang w:val="en-US"/>
        </w:rPr>
        <w:t xml:space="preserve"> and transcriptomic strategies to understand the effects of dark stress on tea callus flavonoid biosynthesis. Plant Physiology and Biochemistry, 155, 549-559.</w:t>
      </w:r>
    </w:p>
    <w:p w:rsidR="00202168" w:rsidRDefault="00202168" w:rsidP="009E3E1E">
      <w:pPr>
        <w:pBdr>
          <w:top w:val="nil"/>
          <w:left w:val="nil"/>
          <w:bottom w:val="nil"/>
          <w:right w:val="nil"/>
          <w:between w:val="nil"/>
          <w:bar w:val="nil"/>
        </w:pBdr>
        <w:spacing w:after="0"/>
        <w:ind w:left="709" w:hanging="709"/>
        <w:rPr>
          <w:rFonts w:ascii="Times New Roman" w:eastAsia="Calibri" w:hAnsi="Times New Roman" w:cs="Times New Roman"/>
          <w:color w:val="000000"/>
          <w:u w:color="000000"/>
          <w:bdr w:val="nil"/>
          <w:lang w:val="en-US"/>
        </w:rPr>
      </w:pPr>
      <w:proofErr w:type="gramStart"/>
      <w:r w:rsidRPr="00C15FC5">
        <w:rPr>
          <w:rFonts w:ascii="Times New Roman" w:eastAsia="Calibri" w:hAnsi="Times New Roman" w:cs="Times New Roman"/>
          <w:color w:val="000000"/>
          <w:u w:color="000000"/>
          <w:bdr w:val="nil"/>
          <w:lang w:val="en-US"/>
        </w:rPr>
        <w:t xml:space="preserve">Shibata, W., </w:t>
      </w:r>
      <w:proofErr w:type="spellStart"/>
      <w:r w:rsidRPr="00C15FC5">
        <w:rPr>
          <w:rFonts w:ascii="Times New Roman" w:eastAsia="Calibri" w:hAnsi="Times New Roman" w:cs="Times New Roman"/>
          <w:color w:val="000000"/>
          <w:u w:color="000000"/>
          <w:bdr w:val="nil"/>
          <w:lang w:val="en-US"/>
        </w:rPr>
        <w:t>Murai</w:t>
      </w:r>
      <w:proofErr w:type="spellEnd"/>
      <w:r w:rsidRPr="00C15FC5">
        <w:rPr>
          <w:rFonts w:ascii="Times New Roman" w:eastAsia="Calibri" w:hAnsi="Times New Roman" w:cs="Times New Roman"/>
          <w:color w:val="000000"/>
          <w:u w:color="000000"/>
          <w:bdr w:val="nil"/>
          <w:lang w:val="en-US"/>
        </w:rPr>
        <w:t xml:space="preserve">, F., Akiyama, T., </w:t>
      </w:r>
      <w:proofErr w:type="spellStart"/>
      <w:r w:rsidRPr="00C15FC5">
        <w:rPr>
          <w:rFonts w:ascii="Times New Roman" w:eastAsia="Calibri" w:hAnsi="Times New Roman" w:cs="Times New Roman"/>
          <w:color w:val="000000"/>
          <w:u w:color="000000"/>
          <w:bdr w:val="nil"/>
          <w:lang w:val="en-US"/>
        </w:rPr>
        <w:t>Siriphol</w:t>
      </w:r>
      <w:proofErr w:type="spellEnd"/>
      <w:r w:rsidRPr="00C15FC5">
        <w:rPr>
          <w:rFonts w:ascii="Times New Roman" w:eastAsia="Calibri" w:hAnsi="Times New Roman" w:cs="Times New Roman"/>
          <w:color w:val="000000"/>
          <w:u w:color="000000"/>
          <w:bdr w:val="nil"/>
          <w:lang w:val="en-US"/>
        </w:rPr>
        <w:t>, M.,</w:t>
      </w:r>
      <w:r w:rsidR="00FC6846">
        <w:rPr>
          <w:rFonts w:ascii="Times New Roman" w:eastAsia="Calibri" w:hAnsi="Times New Roman" w:cs="Times New Roman"/>
          <w:color w:val="000000"/>
          <w:u w:color="000000"/>
          <w:bdr w:val="nil"/>
          <w:lang w:val="en-US"/>
        </w:rPr>
        <w:t xml:space="preserve"> Matsunaga, E., &amp; Morimoto, H. 1996</w:t>
      </w:r>
      <w:r w:rsidRPr="00C15FC5">
        <w:rPr>
          <w:rFonts w:ascii="Times New Roman" w:eastAsia="Calibri" w:hAnsi="Times New Roman" w:cs="Times New Roman"/>
          <w:color w:val="000000"/>
          <w:u w:color="000000"/>
          <w:bdr w:val="nil"/>
          <w:lang w:val="en-US"/>
        </w:rPr>
        <w:t>.</w:t>
      </w:r>
      <w:proofErr w:type="gramEnd"/>
      <w:r w:rsidRPr="00C15FC5">
        <w:rPr>
          <w:rFonts w:ascii="Times New Roman" w:eastAsia="Calibri" w:hAnsi="Times New Roman" w:cs="Times New Roman"/>
          <w:color w:val="000000"/>
          <w:u w:color="000000"/>
          <w:bdr w:val="nil"/>
          <w:lang w:val="en-US"/>
        </w:rPr>
        <w:t xml:space="preserve"> </w:t>
      </w:r>
      <w:proofErr w:type="spellStart"/>
      <w:r w:rsidRPr="00C15FC5">
        <w:rPr>
          <w:rFonts w:ascii="Times New Roman" w:eastAsia="Calibri" w:hAnsi="Times New Roman" w:cs="Times New Roman"/>
          <w:color w:val="000000"/>
          <w:u w:color="000000"/>
          <w:bdr w:val="nil"/>
          <w:lang w:val="en-US"/>
        </w:rPr>
        <w:t>Micropropagation</w:t>
      </w:r>
      <w:proofErr w:type="spellEnd"/>
      <w:r w:rsidRPr="00C15FC5">
        <w:rPr>
          <w:rFonts w:ascii="Times New Roman" w:eastAsia="Calibri" w:hAnsi="Times New Roman" w:cs="Times New Roman"/>
          <w:color w:val="000000"/>
          <w:u w:color="000000"/>
          <w:bdr w:val="nil"/>
          <w:lang w:val="en-US"/>
        </w:rPr>
        <w:t xml:space="preserve"> </w:t>
      </w:r>
      <w:proofErr w:type="gramStart"/>
      <w:r w:rsidRPr="00C15FC5">
        <w:rPr>
          <w:rFonts w:ascii="Times New Roman" w:eastAsia="Calibri" w:hAnsi="Times New Roman" w:cs="Times New Roman"/>
          <w:color w:val="000000"/>
          <w:u w:color="000000"/>
          <w:bdr w:val="nil"/>
          <w:lang w:val="en-US"/>
        </w:rPr>
        <w:t>of</w:t>
      </w:r>
      <w:r>
        <w:rPr>
          <w:rFonts w:ascii="Times New Roman" w:eastAsia="Calibri" w:hAnsi="Times New Roman" w:cs="Times New Roman"/>
          <w:color w:val="000000"/>
          <w:u w:color="000000"/>
          <w:bdr w:val="nil"/>
          <w:lang w:val="en-US"/>
        </w:rPr>
        <w:t xml:space="preserve">  </w:t>
      </w:r>
      <w:r w:rsidRPr="00C15FC5">
        <w:rPr>
          <w:rFonts w:ascii="Times New Roman" w:eastAsia="Calibri" w:hAnsi="Times New Roman" w:cs="Times New Roman"/>
          <w:color w:val="000000"/>
          <w:u w:color="000000"/>
          <w:bdr w:val="nil"/>
          <w:lang w:val="en-US"/>
        </w:rPr>
        <w:t>Croton</w:t>
      </w:r>
      <w:proofErr w:type="gramEnd"/>
      <w:r w:rsidRPr="00C15FC5">
        <w:rPr>
          <w:rFonts w:ascii="Times New Roman" w:eastAsia="Calibri" w:hAnsi="Times New Roman" w:cs="Times New Roman"/>
          <w:color w:val="000000"/>
          <w:u w:color="000000"/>
          <w:bdr w:val="nil"/>
          <w:lang w:val="en-US"/>
        </w:rPr>
        <w:t xml:space="preserve"> </w:t>
      </w:r>
      <w:proofErr w:type="spellStart"/>
      <w:r w:rsidRPr="00C15FC5">
        <w:rPr>
          <w:rFonts w:ascii="Times New Roman" w:eastAsia="Calibri" w:hAnsi="Times New Roman" w:cs="Times New Roman"/>
          <w:color w:val="000000"/>
          <w:u w:color="000000"/>
          <w:bdr w:val="nil"/>
          <w:lang w:val="en-US"/>
        </w:rPr>
        <w:t>sublyratus</w:t>
      </w:r>
      <w:proofErr w:type="spellEnd"/>
      <w:r w:rsidRPr="00C15FC5">
        <w:rPr>
          <w:rFonts w:ascii="Times New Roman" w:eastAsia="Calibri" w:hAnsi="Times New Roman" w:cs="Times New Roman"/>
          <w:color w:val="000000"/>
          <w:u w:color="000000"/>
          <w:bdr w:val="nil"/>
          <w:lang w:val="en-US"/>
        </w:rPr>
        <w:t xml:space="preserve"> </w:t>
      </w:r>
      <w:proofErr w:type="spellStart"/>
      <w:r w:rsidRPr="00C15FC5">
        <w:rPr>
          <w:rFonts w:ascii="Times New Roman" w:eastAsia="Calibri" w:hAnsi="Times New Roman" w:cs="Times New Roman"/>
          <w:color w:val="000000"/>
          <w:u w:color="000000"/>
          <w:bdr w:val="nil"/>
          <w:lang w:val="en-US"/>
        </w:rPr>
        <w:t>Kurz</w:t>
      </w:r>
      <w:proofErr w:type="spellEnd"/>
      <w:r w:rsidRPr="00C15FC5">
        <w:rPr>
          <w:rFonts w:ascii="Times New Roman" w:eastAsia="Calibri" w:hAnsi="Times New Roman" w:cs="Times New Roman"/>
          <w:color w:val="000000"/>
          <w:u w:color="000000"/>
          <w:bdr w:val="nil"/>
          <w:lang w:val="en-US"/>
        </w:rPr>
        <w:t>—a tropical tree of medicinal importance. Plant cell reports, 16(3), 147-152.</w:t>
      </w:r>
    </w:p>
    <w:p w:rsidR="00202168" w:rsidRDefault="00FC6846" w:rsidP="00C15FC5">
      <w:pPr>
        <w:pBdr>
          <w:top w:val="nil"/>
          <w:left w:val="nil"/>
          <w:bottom w:val="nil"/>
          <w:right w:val="nil"/>
          <w:between w:val="nil"/>
          <w:bar w:val="nil"/>
        </w:pBdr>
        <w:spacing w:after="0"/>
        <w:ind w:left="709" w:hanging="709"/>
        <w:rPr>
          <w:rFonts w:ascii="Times New Roman" w:eastAsia="Calibri" w:hAnsi="Times New Roman" w:cs="Times New Roman"/>
          <w:color w:val="000000"/>
          <w:u w:color="000000"/>
          <w:bdr w:val="nil"/>
          <w:lang w:val="en-US"/>
        </w:rPr>
      </w:pPr>
      <w:r>
        <w:rPr>
          <w:rFonts w:ascii="Times New Roman" w:eastAsia="Calibri" w:hAnsi="Times New Roman" w:cs="Times New Roman"/>
          <w:color w:val="000000"/>
          <w:u w:color="000000"/>
          <w:bdr w:val="nil"/>
          <w:lang w:val="en-US"/>
        </w:rPr>
        <w:t>Siddique, A. B., &amp; Islam, S. S.2015</w:t>
      </w:r>
      <w:r w:rsidR="00202168" w:rsidRPr="006F3301">
        <w:rPr>
          <w:rFonts w:ascii="Times New Roman" w:eastAsia="Calibri" w:hAnsi="Times New Roman" w:cs="Times New Roman"/>
          <w:color w:val="000000"/>
          <w:u w:color="000000"/>
          <w:bdr w:val="nil"/>
          <w:lang w:val="en-US"/>
        </w:rPr>
        <w:t xml:space="preserve">. </w:t>
      </w:r>
      <w:proofErr w:type="gramStart"/>
      <w:r w:rsidR="00202168" w:rsidRPr="006F3301">
        <w:rPr>
          <w:rFonts w:ascii="Times New Roman" w:eastAsia="Calibri" w:hAnsi="Times New Roman" w:cs="Times New Roman"/>
          <w:color w:val="000000"/>
          <w:u w:color="000000"/>
          <w:bdr w:val="nil"/>
          <w:lang w:val="en-US"/>
        </w:rPr>
        <w:t>Effect of light and dark on callus induction and regeneration in tobacco (</w:t>
      </w:r>
      <w:proofErr w:type="spellStart"/>
      <w:r w:rsidR="00202168" w:rsidRPr="00202168">
        <w:rPr>
          <w:rFonts w:ascii="Times New Roman" w:eastAsia="Calibri" w:hAnsi="Times New Roman" w:cs="Times New Roman"/>
          <w:i/>
          <w:color w:val="000000"/>
          <w:u w:color="000000"/>
          <w:bdr w:val="nil"/>
          <w:lang w:val="en-US"/>
        </w:rPr>
        <w:t>Nicotiana</w:t>
      </w:r>
      <w:proofErr w:type="spellEnd"/>
      <w:r w:rsidR="00202168" w:rsidRPr="00202168">
        <w:rPr>
          <w:rFonts w:ascii="Times New Roman" w:eastAsia="Calibri" w:hAnsi="Times New Roman" w:cs="Times New Roman"/>
          <w:i/>
          <w:color w:val="000000"/>
          <w:u w:color="000000"/>
          <w:bdr w:val="nil"/>
          <w:lang w:val="en-US"/>
        </w:rPr>
        <w:t xml:space="preserve"> </w:t>
      </w:r>
      <w:proofErr w:type="spellStart"/>
      <w:r w:rsidR="00202168" w:rsidRPr="00202168">
        <w:rPr>
          <w:rFonts w:ascii="Times New Roman" w:eastAsia="Calibri" w:hAnsi="Times New Roman" w:cs="Times New Roman"/>
          <w:i/>
          <w:color w:val="000000"/>
          <w:u w:color="000000"/>
          <w:bdr w:val="nil"/>
          <w:lang w:val="en-US"/>
        </w:rPr>
        <w:t>tabacum</w:t>
      </w:r>
      <w:proofErr w:type="spellEnd"/>
      <w:r w:rsidR="00202168" w:rsidRPr="006F3301">
        <w:rPr>
          <w:rFonts w:ascii="Times New Roman" w:eastAsia="Calibri" w:hAnsi="Times New Roman" w:cs="Times New Roman"/>
          <w:color w:val="000000"/>
          <w:u w:color="000000"/>
          <w:bdr w:val="nil"/>
          <w:lang w:val="en-US"/>
        </w:rPr>
        <w:t xml:space="preserve"> L.).</w:t>
      </w:r>
      <w:proofErr w:type="gramEnd"/>
      <w:r w:rsidR="00202168" w:rsidRPr="006F3301">
        <w:rPr>
          <w:rFonts w:ascii="Times New Roman" w:eastAsia="Calibri" w:hAnsi="Times New Roman" w:cs="Times New Roman"/>
          <w:color w:val="000000"/>
          <w:u w:color="000000"/>
          <w:bdr w:val="nil"/>
          <w:lang w:val="en-US"/>
        </w:rPr>
        <w:t xml:space="preserve"> Bangladesh J. Bot, 44(4), 643-651.</w:t>
      </w:r>
    </w:p>
    <w:p w:rsidR="00202168" w:rsidRPr="0082571A" w:rsidRDefault="00202168" w:rsidP="009E3E1E">
      <w:pPr>
        <w:pBdr>
          <w:top w:val="nil"/>
          <w:left w:val="nil"/>
          <w:bottom w:val="nil"/>
          <w:right w:val="nil"/>
          <w:between w:val="nil"/>
          <w:bar w:val="nil"/>
        </w:pBdr>
        <w:spacing w:after="0"/>
        <w:ind w:left="709" w:hanging="709"/>
        <w:rPr>
          <w:rFonts w:ascii="Times New Roman" w:eastAsia="Times New Roman" w:hAnsi="Times New Roman" w:cs="Times New Roman"/>
          <w:color w:val="000000"/>
          <w:u w:color="000000"/>
          <w:bdr w:val="nil"/>
          <w:lang w:val="en-US"/>
        </w:rPr>
      </w:pPr>
      <w:r w:rsidRPr="0082571A">
        <w:rPr>
          <w:rFonts w:ascii="Times New Roman" w:eastAsia="Calibri" w:hAnsi="Times New Roman" w:cs="Times New Roman"/>
          <w:color w:val="000000"/>
          <w:u w:color="000000"/>
          <w:bdr w:val="nil"/>
          <w:lang w:val="en-US"/>
        </w:rPr>
        <w:t xml:space="preserve">Simona, D.M., G. </w:t>
      </w:r>
      <w:proofErr w:type="spellStart"/>
      <w:r w:rsidRPr="0082571A">
        <w:rPr>
          <w:rFonts w:ascii="Times New Roman" w:eastAsia="Calibri" w:hAnsi="Times New Roman" w:cs="Times New Roman"/>
          <w:color w:val="000000"/>
          <w:u w:color="000000"/>
          <w:bdr w:val="nil"/>
          <w:lang w:val="en-US"/>
        </w:rPr>
        <w:t>Fulvio</w:t>
      </w:r>
      <w:proofErr w:type="spellEnd"/>
      <w:r w:rsidRPr="0082571A">
        <w:rPr>
          <w:rFonts w:ascii="Times New Roman" w:eastAsia="Calibri" w:hAnsi="Times New Roman" w:cs="Times New Roman"/>
          <w:color w:val="000000"/>
          <w:u w:color="000000"/>
          <w:bdr w:val="nil"/>
          <w:lang w:val="en-US"/>
        </w:rPr>
        <w:t xml:space="preserve">, Z. Franco, V. Sara, F. </w:t>
      </w:r>
      <w:proofErr w:type="spellStart"/>
      <w:r w:rsidRPr="0082571A">
        <w:rPr>
          <w:rFonts w:ascii="Times New Roman" w:eastAsia="Calibri" w:hAnsi="Times New Roman" w:cs="Times New Roman"/>
          <w:color w:val="000000"/>
          <w:u w:color="000000"/>
          <w:bdr w:val="nil"/>
          <w:lang w:val="en-US"/>
        </w:rPr>
        <w:t>Gelso</w:t>
      </w:r>
      <w:r w:rsidR="00B5357B">
        <w:rPr>
          <w:rFonts w:ascii="Times New Roman" w:eastAsia="Calibri" w:hAnsi="Times New Roman" w:cs="Times New Roman"/>
          <w:color w:val="000000"/>
          <w:u w:color="000000"/>
          <w:bdr w:val="nil"/>
          <w:lang w:val="en-US"/>
        </w:rPr>
        <w:t>mina</w:t>
      </w:r>
      <w:proofErr w:type="spellEnd"/>
      <w:r w:rsidR="00B5357B">
        <w:rPr>
          <w:rFonts w:ascii="Times New Roman" w:eastAsia="Calibri" w:hAnsi="Times New Roman" w:cs="Times New Roman"/>
          <w:color w:val="000000"/>
          <w:u w:color="000000"/>
          <w:bdr w:val="nil"/>
          <w:lang w:val="en-US"/>
        </w:rPr>
        <w:t>, V. Francesco and Maria I.</w:t>
      </w:r>
      <w:r w:rsidRPr="0082571A">
        <w:rPr>
          <w:rFonts w:ascii="Times New Roman" w:eastAsia="Calibri" w:hAnsi="Times New Roman" w:cs="Times New Roman"/>
          <w:color w:val="000000"/>
          <w:u w:color="000000"/>
          <w:bdr w:val="nil"/>
          <w:lang w:val="en-US"/>
        </w:rPr>
        <w:t>2008</w:t>
      </w:r>
      <w:bookmarkStart w:id="0" w:name="_GoBack"/>
      <w:bookmarkEnd w:id="0"/>
      <w:r w:rsidRPr="0082571A">
        <w:rPr>
          <w:rFonts w:ascii="Times New Roman" w:eastAsia="Calibri" w:hAnsi="Times New Roman" w:cs="Times New Roman"/>
          <w:color w:val="000000"/>
          <w:u w:color="000000"/>
          <w:bdr w:val="nil"/>
          <w:lang w:val="en-US"/>
        </w:rPr>
        <w:t xml:space="preserve">. </w:t>
      </w:r>
      <w:proofErr w:type="gramStart"/>
      <w:r w:rsidRPr="0082571A">
        <w:rPr>
          <w:rFonts w:ascii="Times New Roman" w:eastAsia="Calibri" w:hAnsi="Times New Roman" w:cs="Times New Roman"/>
          <w:color w:val="000000"/>
          <w:u w:color="000000"/>
          <w:bdr w:val="nil"/>
          <w:lang w:val="en-US"/>
        </w:rPr>
        <w:t xml:space="preserve">Identification of minor secondary metabolites from the latex of croton </w:t>
      </w:r>
      <w:proofErr w:type="spellStart"/>
      <w:r w:rsidRPr="0082571A">
        <w:rPr>
          <w:rFonts w:ascii="Times New Roman" w:eastAsia="Calibri" w:hAnsi="Times New Roman" w:cs="Times New Roman"/>
          <w:color w:val="000000"/>
          <w:u w:color="000000"/>
          <w:bdr w:val="nil"/>
          <w:lang w:val="en-US"/>
        </w:rPr>
        <w:t>lechleri</w:t>
      </w:r>
      <w:proofErr w:type="spellEnd"/>
      <w:r w:rsidRPr="0082571A">
        <w:rPr>
          <w:rFonts w:ascii="Times New Roman" w:eastAsia="Calibri" w:hAnsi="Times New Roman" w:cs="Times New Roman"/>
          <w:color w:val="000000"/>
          <w:u w:color="000000"/>
          <w:bdr w:val="nil"/>
          <w:lang w:val="en-US"/>
        </w:rPr>
        <w:t xml:space="preserve"> (</w:t>
      </w:r>
      <w:proofErr w:type="spellStart"/>
      <w:r w:rsidRPr="0082571A">
        <w:rPr>
          <w:rFonts w:ascii="Times New Roman" w:eastAsia="Calibri" w:hAnsi="Times New Roman" w:cs="Times New Roman"/>
          <w:color w:val="000000"/>
          <w:u w:color="000000"/>
          <w:bdr w:val="nil"/>
          <w:lang w:val="en-US"/>
        </w:rPr>
        <w:t>Muell-Arg</w:t>
      </w:r>
      <w:proofErr w:type="spellEnd"/>
      <w:r w:rsidRPr="0082571A">
        <w:rPr>
          <w:rFonts w:ascii="Times New Roman" w:eastAsia="Calibri" w:hAnsi="Times New Roman" w:cs="Times New Roman"/>
          <w:color w:val="000000"/>
          <w:u w:color="000000"/>
          <w:bdr w:val="nil"/>
          <w:lang w:val="en-US"/>
        </w:rPr>
        <w:t>) and evaluation of their antioxidant activity.</w:t>
      </w:r>
      <w:proofErr w:type="gramEnd"/>
      <w:r w:rsidRPr="0082571A">
        <w:rPr>
          <w:rFonts w:ascii="Times New Roman" w:eastAsia="Calibri" w:hAnsi="Times New Roman" w:cs="Times New Roman"/>
          <w:color w:val="000000"/>
          <w:u w:color="000000"/>
          <w:bdr w:val="nil"/>
          <w:lang w:val="en-US"/>
        </w:rPr>
        <w:t xml:space="preserve"> Molecules, 13 (6): 1219-1229.</w:t>
      </w:r>
    </w:p>
    <w:sectPr w:rsidR="00202168" w:rsidRPr="008257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F56"/>
    <w:rsid w:val="00011A57"/>
    <w:rsid w:val="00045771"/>
    <w:rsid w:val="00110570"/>
    <w:rsid w:val="00174949"/>
    <w:rsid w:val="00195D89"/>
    <w:rsid w:val="001C469B"/>
    <w:rsid w:val="001C6749"/>
    <w:rsid w:val="001D33FE"/>
    <w:rsid w:val="00202168"/>
    <w:rsid w:val="002321B6"/>
    <w:rsid w:val="002A68EC"/>
    <w:rsid w:val="00303AD9"/>
    <w:rsid w:val="00316F0A"/>
    <w:rsid w:val="003240EE"/>
    <w:rsid w:val="00412F56"/>
    <w:rsid w:val="004342C8"/>
    <w:rsid w:val="0045777E"/>
    <w:rsid w:val="00472345"/>
    <w:rsid w:val="00482497"/>
    <w:rsid w:val="0049799B"/>
    <w:rsid w:val="004D3759"/>
    <w:rsid w:val="004E5A8B"/>
    <w:rsid w:val="004E752C"/>
    <w:rsid w:val="0057208D"/>
    <w:rsid w:val="00572869"/>
    <w:rsid w:val="005F7857"/>
    <w:rsid w:val="006051BF"/>
    <w:rsid w:val="00614AEC"/>
    <w:rsid w:val="006416F9"/>
    <w:rsid w:val="00692545"/>
    <w:rsid w:val="006B3BFD"/>
    <w:rsid w:val="006E7DAD"/>
    <w:rsid w:val="006F3301"/>
    <w:rsid w:val="00732E0D"/>
    <w:rsid w:val="00741F13"/>
    <w:rsid w:val="007E04AE"/>
    <w:rsid w:val="007E118C"/>
    <w:rsid w:val="00806264"/>
    <w:rsid w:val="0082571A"/>
    <w:rsid w:val="008447DE"/>
    <w:rsid w:val="008B08D3"/>
    <w:rsid w:val="00936564"/>
    <w:rsid w:val="009D4D35"/>
    <w:rsid w:val="009E3E1E"/>
    <w:rsid w:val="009F0EE7"/>
    <w:rsid w:val="00A3655A"/>
    <w:rsid w:val="00AD722D"/>
    <w:rsid w:val="00AF79C7"/>
    <w:rsid w:val="00B00EF6"/>
    <w:rsid w:val="00B2071A"/>
    <w:rsid w:val="00B5357B"/>
    <w:rsid w:val="00C053F4"/>
    <w:rsid w:val="00C15FC5"/>
    <w:rsid w:val="00C442A5"/>
    <w:rsid w:val="00C80B18"/>
    <w:rsid w:val="00D001AE"/>
    <w:rsid w:val="00D15B88"/>
    <w:rsid w:val="00D52CF3"/>
    <w:rsid w:val="00D544E0"/>
    <w:rsid w:val="00D56B7D"/>
    <w:rsid w:val="00D630E9"/>
    <w:rsid w:val="00D74F85"/>
    <w:rsid w:val="00DA1732"/>
    <w:rsid w:val="00DD526A"/>
    <w:rsid w:val="00DD5523"/>
    <w:rsid w:val="00DE59F9"/>
    <w:rsid w:val="00E24F3B"/>
    <w:rsid w:val="00E47A91"/>
    <w:rsid w:val="00E65C93"/>
    <w:rsid w:val="00EE0710"/>
    <w:rsid w:val="00F01765"/>
    <w:rsid w:val="00FB2A80"/>
    <w:rsid w:val="00FC68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257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2571A"/>
    <w:rPr>
      <w:rFonts w:ascii="Tahoma" w:hAnsi="Tahoma" w:cs="Tahoma"/>
      <w:sz w:val="16"/>
      <w:szCs w:val="16"/>
    </w:rPr>
  </w:style>
  <w:style w:type="table" w:styleId="TabloKlavuzu">
    <w:name w:val="Table Grid"/>
    <w:basedOn w:val="NormalTablo"/>
    <w:uiPriority w:val="59"/>
    <w:rsid w:val="00F01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257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2571A"/>
    <w:rPr>
      <w:rFonts w:ascii="Tahoma" w:hAnsi="Tahoma" w:cs="Tahoma"/>
      <w:sz w:val="16"/>
      <w:szCs w:val="16"/>
    </w:rPr>
  </w:style>
  <w:style w:type="table" w:styleId="TabloKlavuzu">
    <w:name w:val="Table Grid"/>
    <w:basedOn w:val="NormalTablo"/>
    <w:uiPriority w:val="59"/>
    <w:rsid w:val="00F01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9"/>
    </mc:Choice>
    <mc:Fallback>
      <c:style val="9"/>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v>Light</c:v>
          </c:tx>
          <c:invertIfNegative val="0"/>
          <c:dLbls>
            <c:dLbl>
              <c:idx val="0"/>
              <c:tx>
                <c:rich>
                  <a:bodyPr/>
                  <a:lstStyle/>
                  <a:p>
                    <a:r>
                      <a:rPr lang="tr-TR"/>
                      <a:t>A</a:t>
                    </a:r>
                    <a:endParaRPr lang="en-US"/>
                  </a:p>
                </c:rich>
              </c:tx>
              <c:showLegendKey val="0"/>
              <c:showVal val="1"/>
              <c:showCatName val="0"/>
              <c:showSerName val="0"/>
              <c:showPercent val="0"/>
              <c:showBubbleSize val="0"/>
            </c:dLbl>
            <c:dLbl>
              <c:idx val="1"/>
              <c:tx>
                <c:rich>
                  <a:bodyPr/>
                  <a:lstStyle/>
                  <a:p>
                    <a:r>
                      <a:rPr lang="tr-TR"/>
                      <a:t>A</a:t>
                    </a:r>
                    <a:endParaRPr lang="en-US"/>
                  </a:p>
                </c:rich>
              </c:tx>
              <c:showLegendKey val="0"/>
              <c:showVal val="1"/>
              <c:showCatName val="0"/>
              <c:showSerName val="0"/>
              <c:showPercent val="0"/>
              <c:showBubbleSize val="0"/>
            </c:dLbl>
            <c:dLbl>
              <c:idx val="2"/>
              <c:tx>
                <c:rich>
                  <a:bodyPr/>
                  <a:lstStyle/>
                  <a:p>
                    <a:r>
                      <a:rPr lang="tr-TR"/>
                      <a:t>A</a:t>
                    </a:r>
                    <a:endParaRPr lang="en-US"/>
                  </a:p>
                </c:rich>
              </c:tx>
              <c:showLegendKey val="0"/>
              <c:showVal val="1"/>
              <c:showCatName val="0"/>
              <c:showSerName val="0"/>
              <c:showPercent val="0"/>
              <c:showBubbleSize val="0"/>
            </c:dLbl>
            <c:dLbl>
              <c:idx val="4"/>
              <c:tx>
                <c:rich>
                  <a:bodyPr/>
                  <a:lstStyle/>
                  <a:p>
                    <a:r>
                      <a:rPr lang="tr-TR"/>
                      <a:t>A</a:t>
                    </a:r>
                    <a:endParaRPr lang="en-US"/>
                  </a:p>
                </c:rich>
              </c:tx>
              <c:showLegendKey val="0"/>
              <c:showVal val="1"/>
              <c:showCatName val="0"/>
              <c:showSerName val="0"/>
              <c:showPercent val="0"/>
              <c:showBubbleSize val="0"/>
            </c:dLbl>
            <c:dLbl>
              <c:idx val="5"/>
              <c:tx>
                <c:rich>
                  <a:bodyPr/>
                  <a:lstStyle/>
                  <a:p>
                    <a:r>
                      <a:rPr lang="tr-TR"/>
                      <a:t>A</a:t>
                    </a:r>
                    <a:endParaRPr lang="en-US"/>
                  </a:p>
                </c:rich>
              </c:tx>
              <c:showLegendKey val="0"/>
              <c:showVal val="1"/>
              <c:showCatName val="0"/>
              <c:showSerName val="0"/>
              <c:showPercent val="0"/>
              <c:showBubbleSize val="0"/>
            </c:dLbl>
            <c:dLbl>
              <c:idx val="6"/>
              <c:tx>
                <c:rich>
                  <a:bodyPr/>
                  <a:lstStyle/>
                  <a:p>
                    <a:r>
                      <a:rPr lang="tr-TR"/>
                      <a:t>A</a:t>
                    </a:r>
                    <a:endParaRPr lang="en-US"/>
                  </a:p>
                </c:rich>
              </c:tx>
              <c:showLegendKey val="0"/>
              <c:showVal val="1"/>
              <c:showCatName val="0"/>
              <c:showSerName val="0"/>
              <c:showPercent val="0"/>
              <c:showBubbleSize val="0"/>
            </c:dLbl>
            <c:dLbl>
              <c:idx val="7"/>
              <c:tx>
                <c:rich>
                  <a:bodyPr/>
                  <a:lstStyle/>
                  <a:p>
                    <a:r>
                      <a:rPr lang="tr-TR"/>
                      <a:t>A</a:t>
                    </a:r>
                    <a:endParaRPr lang="en-US"/>
                  </a:p>
                </c:rich>
              </c:tx>
              <c:showLegendKey val="0"/>
              <c:showVal val="1"/>
              <c:showCatName val="0"/>
              <c:showSerName val="0"/>
              <c:showPercent val="0"/>
              <c:showBubbleSize val="0"/>
            </c:dLbl>
            <c:dLbl>
              <c:idx val="8"/>
              <c:layout>
                <c:manualLayout>
                  <c:x val="1.0185067526415994E-16"/>
                  <c:y val="0"/>
                </c:manualLayout>
              </c:layout>
              <c:tx>
                <c:rich>
                  <a:bodyPr/>
                  <a:lstStyle/>
                  <a:p>
                    <a:r>
                      <a:rPr lang="tr-TR"/>
                      <a:t>B</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Sayfa1!$F$2:$F$10</c:f>
              <c:strCache>
                <c:ptCount val="9"/>
                <c:pt idx="0">
                  <c:v>M1</c:v>
                </c:pt>
                <c:pt idx="1">
                  <c:v>M2</c:v>
                </c:pt>
                <c:pt idx="2">
                  <c:v>M3</c:v>
                </c:pt>
                <c:pt idx="3">
                  <c:v>M4</c:v>
                </c:pt>
                <c:pt idx="4">
                  <c:v>M5</c:v>
                </c:pt>
                <c:pt idx="5">
                  <c:v>M6</c:v>
                </c:pt>
                <c:pt idx="6">
                  <c:v>M7</c:v>
                </c:pt>
                <c:pt idx="7">
                  <c:v>M8</c:v>
                </c:pt>
                <c:pt idx="8">
                  <c:v>M9</c:v>
                </c:pt>
              </c:strCache>
            </c:strRef>
          </c:cat>
          <c:val>
            <c:numRef>
              <c:f>Sayfa1!$G$2:$G$10</c:f>
              <c:numCache>
                <c:formatCode>General</c:formatCode>
                <c:ptCount val="9"/>
                <c:pt idx="0">
                  <c:v>77.78</c:v>
                </c:pt>
                <c:pt idx="1">
                  <c:v>100</c:v>
                </c:pt>
                <c:pt idx="2">
                  <c:v>33.33</c:v>
                </c:pt>
                <c:pt idx="3">
                  <c:v>0</c:v>
                </c:pt>
                <c:pt idx="4">
                  <c:v>66.67</c:v>
                </c:pt>
                <c:pt idx="5">
                  <c:v>100</c:v>
                </c:pt>
                <c:pt idx="6">
                  <c:v>100</c:v>
                </c:pt>
                <c:pt idx="7">
                  <c:v>100</c:v>
                </c:pt>
                <c:pt idx="8">
                  <c:v>33.33</c:v>
                </c:pt>
              </c:numCache>
            </c:numRef>
          </c:val>
        </c:ser>
        <c:ser>
          <c:idx val="1"/>
          <c:order val="1"/>
          <c:tx>
            <c:v>Dark</c:v>
          </c:tx>
          <c:invertIfNegative val="0"/>
          <c:dLbls>
            <c:dLbl>
              <c:idx val="0"/>
              <c:tx>
                <c:rich>
                  <a:bodyPr/>
                  <a:lstStyle/>
                  <a:p>
                    <a:r>
                      <a:rPr lang="tr-TR"/>
                      <a:t>A</a:t>
                    </a:r>
                    <a:endParaRPr lang="en-US"/>
                  </a:p>
                </c:rich>
              </c:tx>
              <c:showLegendKey val="0"/>
              <c:showVal val="1"/>
              <c:showCatName val="0"/>
              <c:showSerName val="0"/>
              <c:showPercent val="0"/>
              <c:showBubbleSize val="0"/>
            </c:dLbl>
            <c:dLbl>
              <c:idx val="1"/>
              <c:tx>
                <c:rich>
                  <a:bodyPr/>
                  <a:lstStyle/>
                  <a:p>
                    <a:r>
                      <a:rPr lang="tr-TR"/>
                      <a:t>B</a:t>
                    </a:r>
                    <a:endParaRPr lang="en-US"/>
                  </a:p>
                </c:rich>
              </c:tx>
              <c:showLegendKey val="0"/>
              <c:showVal val="1"/>
              <c:showCatName val="0"/>
              <c:showSerName val="0"/>
              <c:showPercent val="0"/>
              <c:showBubbleSize val="0"/>
            </c:dLbl>
            <c:dLbl>
              <c:idx val="2"/>
              <c:tx>
                <c:rich>
                  <a:bodyPr/>
                  <a:lstStyle/>
                  <a:p>
                    <a:r>
                      <a:rPr lang="tr-TR"/>
                      <a:t>A</a:t>
                    </a:r>
                    <a:endParaRPr lang="en-US"/>
                  </a:p>
                </c:rich>
              </c:tx>
              <c:showLegendKey val="0"/>
              <c:showVal val="1"/>
              <c:showCatName val="0"/>
              <c:showSerName val="0"/>
              <c:showPercent val="0"/>
              <c:showBubbleSize val="0"/>
            </c:dLbl>
            <c:dLbl>
              <c:idx val="3"/>
              <c:delete val="1"/>
            </c:dLbl>
            <c:dLbl>
              <c:idx val="4"/>
              <c:tx>
                <c:rich>
                  <a:bodyPr/>
                  <a:lstStyle/>
                  <a:p>
                    <a:r>
                      <a:rPr lang="tr-TR"/>
                      <a:t>A</a:t>
                    </a:r>
                    <a:endParaRPr lang="en-US"/>
                  </a:p>
                </c:rich>
              </c:tx>
              <c:showLegendKey val="0"/>
              <c:showVal val="1"/>
              <c:showCatName val="0"/>
              <c:showSerName val="0"/>
              <c:showPercent val="0"/>
              <c:showBubbleSize val="0"/>
            </c:dLbl>
            <c:dLbl>
              <c:idx val="5"/>
              <c:tx>
                <c:rich>
                  <a:bodyPr/>
                  <a:lstStyle/>
                  <a:p>
                    <a:r>
                      <a:rPr lang="tr-TR"/>
                      <a:t>A</a:t>
                    </a:r>
                    <a:endParaRPr lang="en-US"/>
                  </a:p>
                </c:rich>
              </c:tx>
              <c:showLegendKey val="0"/>
              <c:showVal val="1"/>
              <c:showCatName val="0"/>
              <c:showSerName val="0"/>
              <c:showPercent val="0"/>
              <c:showBubbleSize val="0"/>
            </c:dLbl>
            <c:dLbl>
              <c:idx val="6"/>
              <c:tx>
                <c:rich>
                  <a:bodyPr/>
                  <a:lstStyle/>
                  <a:p>
                    <a:r>
                      <a:rPr lang="tr-TR"/>
                      <a:t>B</a:t>
                    </a:r>
                    <a:endParaRPr lang="en-US"/>
                  </a:p>
                </c:rich>
              </c:tx>
              <c:showLegendKey val="0"/>
              <c:showVal val="1"/>
              <c:showCatName val="0"/>
              <c:showSerName val="0"/>
              <c:showPercent val="0"/>
              <c:showBubbleSize val="0"/>
            </c:dLbl>
            <c:dLbl>
              <c:idx val="7"/>
              <c:tx>
                <c:rich>
                  <a:bodyPr/>
                  <a:lstStyle/>
                  <a:p>
                    <a:r>
                      <a:rPr lang="tr-TR"/>
                      <a:t>A</a:t>
                    </a:r>
                    <a:endParaRPr lang="en-US"/>
                  </a:p>
                </c:rich>
              </c:tx>
              <c:showLegendKey val="0"/>
              <c:showVal val="1"/>
              <c:showCatName val="0"/>
              <c:showSerName val="0"/>
              <c:showPercent val="0"/>
              <c:showBubbleSize val="0"/>
            </c:dLbl>
            <c:dLbl>
              <c:idx val="8"/>
              <c:tx>
                <c:rich>
                  <a:bodyPr/>
                  <a:lstStyle/>
                  <a:p>
                    <a:r>
                      <a:rPr lang="tr-TR"/>
                      <a:t>A</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Sayfa1!$F$2:$F$10</c:f>
              <c:strCache>
                <c:ptCount val="9"/>
                <c:pt idx="0">
                  <c:v>M1</c:v>
                </c:pt>
                <c:pt idx="1">
                  <c:v>M2</c:v>
                </c:pt>
                <c:pt idx="2">
                  <c:v>M3</c:v>
                </c:pt>
                <c:pt idx="3">
                  <c:v>M4</c:v>
                </c:pt>
                <c:pt idx="4">
                  <c:v>M5</c:v>
                </c:pt>
                <c:pt idx="5">
                  <c:v>M6</c:v>
                </c:pt>
                <c:pt idx="6">
                  <c:v>M7</c:v>
                </c:pt>
                <c:pt idx="7">
                  <c:v>M8</c:v>
                </c:pt>
                <c:pt idx="8">
                  <c:v>M9</c:v>
                </c:pt>
              </c:strCache>
            </c:strRef>
          </c:cat>
          <c:val>
            <c:numRef>
              <c:f>Sayfa1!$H$2:$H$10</c:f>
              <c:numCache>
                <c:formatCode>General</c:formatCode>
                <c:ptCount val="9"/>
                <c:pt idx="0">
                  <c:v>83.31</c:v>
                </c:pt>
                <c:pt idx="1">
                  <c:v>61.11</c:v>
                </c:pt>
                <c:pt idx="2">
                  <c:v>33.31</c:v>
                </c:pt>
                <c:pt idx="3">
                  <c:v>94.44</c:v>
                </c:pt>
                <c:pt idx="4">
                  <c:v>50</c:v>
                </c:pt>
                <c:pt idx="5">
                  <c:v>100</c:v>
                </c:pt>
                <c:pt idx="6">
                  <c:v>33.33</c:v>
                </c:pt>
                <c:pt idx="7">
                  <c:v>100</c:v>
                </c:pt>
                <c:pt idx="8">
                  <c:v>88.89</c:v>
                </c:pt>
              </c:numCache>
            </c:numRef>
          </c:val>
        </c:ser>
        <c:dLbls>
          <c:showLegendKey val="0"/>
          <c:showVal val="0"/>
          <c:showCatName val="0"/>
          <c:showSerName val="0"/>
          <c:showPercent val="0"/>
          <c:showBubbleSize val="0"/>
        </c:dLbls>
        <c:gapWidth val="150"/>
        <c:axId val="182205824"/>
        <c:axId val="182236288"/>
      </c:barChart>
      <c:catAx>
        <c:axId val="182205824"/>
        <c:scaling>
          <c:orientation val="minMax"/>
        </c:scaling>
        <c:delete val="0"/>
        <c:axPos val="b"/>
        <c:majorTickMark val="out"/>
        <c:minorTickMark val="none"/>
        <c:tickLblPos val="nextTo"/>
        <c:crossAx val="182236288"/>
        <c:crosses val="autoZero"/>
        <c:auto val="1"/>
        <c:lblAlgn val="ctr"/>
        <c:lblOffset val="100"/>
        <c:noMultiLvlLbl val="0"/>
      </c:catAx>
      <c:valAx>
        <c:axId val="182236288"/>
        <c:scaling>
          <c:orientation val="minMax"/>
        </c:scaling>
        <c:delete val="0"/>
        <c:axPos val="l"/>
        <c:majorGridlines/>
        <c:numFmt formatCode="General" sourceLinked="1"/>
        <c:majorTickMark val="out"/>
        <c:minorTickMark val="none"/>
        <c:tickLblPos val="nextTo"/>
        <c:crossAx val="182205824"/>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Sayfa1!$G$1</c:f>
              <c:strCache>
                <c:ptCount val="1"/>
                <c:pt idx="0">
                  <c:v>Light</c:v>
                </c:pt>
              </c:strCache>
            </c:strRef>
          </c:tx>
          <c:cat>
            <c:strRef>
              <c:f>Sayfa1!$F$2:$F$10</c:f>
              <c:strCache>
                <c:ptCount val="9"/>
                <c:pt idx="0">
                  <c:v>M1</c:v>
                </c:pt>
                <c:pt idx="1">
                  <c:v>M2</c:v>
                </c:pt>
                <c:pt idx="2">
                  <c:v>M3</c:v>
                </c:pt>
                <c:pt idx="3">
                  <c:v>M4</c:v>
                </c:pt>
                <c:pt idx="4">
                  <c:v>M5</c:v>
                </c:pt>
                <c:pt idx="5">
                  <c:v>M6</c:v>
                </c:pt>
                <c:pt idx="6">
                  <c:v>M7</c:v>
                </c:pt>
                <c:pt idx="7">
                  <c:v>M8</c:v>
                </c:pt>
                <c:pt idx="8">
                  <c:v>M9</c:v>
                </c:pt>
              </c:strCache>
            </c:strRef>
          </c:cat>
          <c:val>
            <c:numRef>
              <c:f>Sayfa1!$G$2:$G$10</c:f>
              <c:numCache>
                <c:formatCode>General</c:formatCode>
                <c:ptCount val="9"/>
                <c:pt idx="0">
                  <c:v>0.23</c:v>
                </c:pt>
                <c:pt idx="1">
                  <c:v>0.53</c:v>
                </c:pt>
                <c:pt idx="2">
                  <c:v>0.4</c:v>
                </c:pt>
                <c:pt idx="3">
                  <c:v>0</c:v>
                </c:pt>
                <c:pt idx="4">
                  <c:v>0.45</c:v>
                </c:pt>
                <c:pt idx="5">
                  <c:v>0.57999999999999996</c:v>
                </c:pt>
                <c:pt idx="6">
                  <c:v>0.55000000000000004</c:v>
                </c:pt>
                <c:pt idx="7">
                  <c:v>0.7</c:v>
                </c:pt>
                <c:pt idx="8">
                  <c:v>1</c:v>
                </c:pt>
              </c:numCache>
            </c:numRef>
          </c:val>
          <c:smooth val="0"/>
        </c:ser>
        <c:ser>
          <c:idx val="1"/>
          <c:order val="1"/>
          <c:tx>
            <c:strRef>
              <c:f>Sayfa1!$H$1</c:f>
              <c:strCache>
                <c:ptCount val="1"/>
                <c:pt idx="0">
                  <c:v>Dark</c:v>
                </c:pt>
              </c:strCache>
            </c:strRef>
          </c:tx>
          <c:cat>
            <c:strRef>
              <c:f>Sayfa1!$F$2:$F$10</c:f>
              <c:strCache>
                <c:ptCount val="9"/>
                <c:pt idx="0">
                  <c:v>M1</c:v>
                </c:pt>
                <c:pt idx="1">
                  <c:v>M2</c:v>
                </c:pt>
                <c:pt idx="2">
                  <c:v>M3</c:v>
                </c:pt>
                <c:pt idx="3">
                  <c:v>M4</c:v>
                </c:pt>
                <c:pt idx="4">
                  <c:v>M5</c:v>
                </c:pt>
                <c:pt idx="5">
                  <c:v>M6</c:v>
                </c:pt>
                <c:pt idx="6">
                  <c:v>M7</c:v>
                </c:pt>
                <c:pt idx="7">
                  <c:v>M8</c:v>
                </c:pt>
                <c:pt idx="8">
                  <c:v>M9</c:v>
                </c:pt>
              </c:strCache>
            </c:strRef>
          </c:cat>
          <c:val>
            <c:numRef>
              <c:f>Sayfa1!$H$2:$H$10</c:f>
              <c:numCache>
                <c:formatCode>General</c:formatCode>
                <c:ptCount val="9"/>
                <c:pt idx="0">
                  <c:v>0.2</c:v>
                </c:pt>
                <c:pt idx="1">
                  <c:v>0.3</c:v>
                </c:pt>
                <c:pt idx="2">
                  <c:v>0.3</c:v>
                </c:pt>
                <c:pt idx="3">
                  <c:v>0.23</c:v>
                </c:pt>
                <c:pt idx="4">
                  <c:v>0.33</c:v>
                </c:pt>
                <c:pt idx="5">
                  <c:v>0.5</c:v>
                </c:pt>
                <c:pt idx="6">
                  <c:v>0.5</c:v>
                </c:pt>
                <c:pt idx="7">
                  <c:v>0.52</c:v>
                </c:pt>
                <c:pt idx="8">
                  <c:v>1</c:v>
                </c:pt>
              </c:numCache>
            </c:numRef>
          </c:val>
          <c:smooth val="0"/>
        </c:ser>
        <c:dLbls>
          <c:showLegendKey val="0"/>
          <c:showVal val="0"/>
          <c:showCatName val="0"/>
          <c:showSerName val="0"/>
          <c:showPercent val="0"/>
          <c:showBubbleSize val="0"/>
        </c:dLbls>
        <c:marker val="1"/>
        <c:smooth val="0"/>
        <c:axId val="182371840"/>
        <c:axId val="182373376"/>
      </c:lineChart>
      <c:catAx>
        <c:axId val="182371840"/>
        <c:scaling>
          <c:orientation val="minMax"/>
        </c:scaling>
        <c:delete val="0"/>
        <c:axPos val="b"/>
        <c:majorTickMark val="out"/>
        <c:minorTickMark val="none"/>
        <c:tickLblPos val="nextTo"/>
        <c:crossAx val="182373376"/>
        <c:crosses val="autoZero"/>
        <c:auto val="1"/>
        <c:lblAlgn val="ctr"/>
        <c:lblOffset val="100"/>
        <c:noMultiLvlLbl val="0"/>
      </c:catAx>
      <c:valAx>
        <c:axId val="182373376"/>
        <c:scaling>
          <c:orientation val="minMax"/>
        </c:scaling>
        <c:delete val="0"/>
        <c:axPos val="l"/>
        <c:majorGridlines/>
        <c:numFmt formatCode="General" sourceLinked="1"/>
        <c:majorTickMark val="out"/>
        <c:minorTickMark val="none"/>
        <c:tickLblPos val="nextTo"/>
        <c:crossAx val="18237184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986803732866724E-2"/>
          <c:y val="4.9017746953816201E-2"/>
          <c:w val="0.80572524788568101"/>
          <c:h val="0.85918613114537157"/>
        </c:manualLayout>
      </c:layout>
      <c:barChart>
        <c:barDir val="col"/>
        <c:grouping val="clustered"/>
        <c:varyColors val="0"/>
        <c:ser>
          <c:idx val="0"/>
          <c:order val="0"/>
          <c:tx>
            <c:strRef>
              <c:f>Sayfa1!$G$1</c:f>
              <c:strCache>
                <c:ptCount val="1"/>
                <c:pt idx="0">
                  <c:v>Light</c:v>
                </c:pt>
              </c:strCache>
            </c:strRef>
          </c:tx>
          <c:spPr>
            <a:pattFill prst="smConfetti">
              <a:fgClr>
                <a:schemeClr val="tx1"/>
              </a:fgClr>
              <a:bgClr>
                <a:schemeClr val="bg1"/>
              </a:bgClr>
            </a:pattFill>
          </c:spPr>
          <c:invertIfNegative val="0"/>
          <c:dLbls>
            <c:dLbl>
              <c:idx val="0"/>
              <c:tx>
                <c:rich>
                  <a:bodyPr/>
                  <a:lstStyle/>
                  <a:p>
                    <a:r>
                      <a:rPr lang="tr-TR" sz="1200" b="0" i="0" u="none" strike="noStrike" baseline="0">
                        <a:solidFill>
                          <a:schemeClr val="tx1"/>
                        </a:solidFill>
                        <a:effectLst/>
                      </a:rPr>
                      <a:t>dA</a:t>
                    </a:r>
                    <a:endParaRPr lang="en-US"/>
                  </a:p>
                </c:rich>
              </c:tx>
              <c:showLegendKey val="0"/>
              <c:showVal val="1"/>
              <c:showCatName val="0"/>
              <c:showSerName val="0"/>
              <c:showPercent val="0"/>
              <c:showBubbleSize val="0"/>
            </c:dLbl>
            <c:dLbl>
              <c:idx val="1"/>
              <c:tx>
                <c:rich>
                  <a:bodyPr/>
                  <a:lstStyle/>
                  <a:p>
                    <a:r>
                      <a:rPr lang="tr-TR" sz="1200" b="0" i="0" u="none" strike="noStrike" baseline="0">
                        <a:solidFill>
                          <a:schemeClr val="tx1"/>
                        </a:solidFill>
                        <a:effectLst/>
                      </a:rPr>
                      <a:t>dA</a:t>
                    </a:r>
                    <a:endParaRPr lang="en-US"/>
                  </a:p>
                </c:rich>
              </c:tx>
              <c:showLegendKey val="0"/>
              <c:showVal val="1"/>
              <c:showCatName val="0"/>
              <c:showSerName val="0"/>
              <c:showPercent val="0"/>
              <c:showBubbleSize val="0"/>
            </c:dLbl>
            <c:dLbl>
              <c:idx val="2"/>
              <c:tx>
                <c:rich>
                  <a:bodyPr/>
                  <a:lstStyle/>
                  <a:p>
                    <a:r>
                      <a:rPr lang="tr-TR" sz="1200" b="0" i="0" u="none" strike="noStrike" baseline="0">
                        <a:solidFill>
                          <a:schemeClr val="tx1"/>
                        </a:solidFill>
                        <a:effectLst/>
                      </a:rPr>
                      <a:t>dA</a:t>
                    </a:r>
                    <a:endParaRPr lang="en-US"/>
                  </a:p>
                </c:rich>
              </c:tx>
              <c:showLegendKey val="0"/>
              <c:showVal val="1"/>
              <c:showCatName val="0"/>
              <c:showSerName val="0"/>
              <c:showPercent val="0"/>
              <c:showBubbleSize val="0"/>
            </c:dLbl>
            <c:dLbl>
              <c:idx val="4"/>
              <c:tx>
                <c:rich>
                  <a:bodyPr/>
                  <a:lstStyle/>
                  <a:p>
                    <a:r>
                      <a:rPr lang="tr-TR" sz="1200" b="0" i="0" u="none" strike="noStrike" baseline="0">
                        <a:solidFill>
                          <a:schemeClr val="tx1"/>
                        </a:solidFill>
                        <a:effectLst/>
                      </a:rPr>
                      <a:t>cA</a:t>
                    </a:r>
                    <a:endParaRPr lang="en-US"/>
                  </a:p>
                </c:rich>
              </c:tx>
              <c:showLegendKey val="0"/>
              <c:showVal val="1"/>
              <c:showCatName val="0"/>
              <c:showSerName val="0"/>
              <c:showPercent val="0"/>
              <c:showBubbleSize val="0"/>
            </c:dLbl>
            <c:dLbl>
              <c:idx val="5"/>
              <c:tx>
                <c:rich>
                  <a:bodyPr/>
                  <a:lstStyle/>
                  <a:p>
                    <a:r>
                      <a:rPr lang="tr-TR" sz="1200" b="0" i="0" u="none" strike="noStrike" baseline="0">
                        <a:solidFill>
                          <a:schemeClr val="tx1"/>
                        </a:solidFill>
                        <a:effectLst/>
                      </a:rPr>
                      <a:t>cA</a:t>
                    </a:r>
                    <a:endParaRPr lang="en-US"/>
                  </a:p>
                </c:rich>
              </c:tx>
              <c:showLegendKey val="0"/>
              <c:showVal val="1"/>
              <c:showCatName val="0"/>
              <c:showSerName val="0"/>
              <c:showPercent val="0"/>
              <c:showBubbleSize val="0"/>
            </c:dLbl>
            <c:dLbl>
              <c:idx val="6"/>
              <c:tx>
                <c:rich>
                  <a:bodyPr/>
                  <a:lstStyle/>
                  <a:p>
                    <a:r>
                      <a:rPr lang="tr-TR" sz="1200" b="0" i="0" u="none" strike="noStrike" baseline="0">
                        <a:solidFill>
                          <a:schemeClr val="tx1"/>
                        </a:solidFill>
                        <a:effectLst/>
                      </a:rPr>
                      <a:t>cA</a:t>
                    </a:r>
                    <a:endParaRPr lang="en-US"/>
                  </a:p>
                </c:rich>
              </c:tx>
              <c:showLegendKey val="0"/>
              <c:showVal val="1"/>
              <c:showCatName val="0"/>
              <c:showSerName val="0"/>
              <c:showPercent val="0"/>
              <c:showBubbleSize val="0"/>
            </c:dLbl>
            <c:dLbl>
              <c:idx val="7"/>
              <c:tx>
                <c:rich>
                  <a:bodyPr/>
                  <a:lstStyle/>
                  <a:p>
                    <a:r>
                      <a:rPr lang="tr-TR" sz="1200" b="0" i="0" u="none" strike="noStrike" baseline="0">
                        <a:solidFill>
                          <a:schemeClr val="tx1"/>
                        </a:solidFill>
                        <a:effectLst/>
                      </a:rPr>
                      <a:t>bA</a:t>
                    </a:r>
                    <a:endParaRPr lang="en-US"/>
                  </a:p>
                </c:rich>
              </c:tx>
              <c:showLegendKey val="0"/>
              <c:showVal val="1"/>
              <c:showCatName val="0"/>
              <c:showSerName val="0"/>
              <c:showPercent val="0"/>
              <c:showBubbleSize val="0"/>
            </c:dLbl>
            <c:dLbl>
              <c:idx val="8"/>
              <c:tx>
                <c:rich>
                  <a:bodyPr/>
                  <a:lstStyle/>
                  <a:p>
                    <a:r>
                      <a:rPr lang="tr-TR" sz="1200" b="0" i="0" u="none" strike="noStrike" baseline="0">
                        <a:solidFill>
                          <a:schemeClr val="tx1"/>
                        </a:solidFill>
                        <a:effectLst/>
                      </a:rPr>
                      <a:t>aA</a:t>
                    </a:r>
                    <a:endParaRPr lang="en-US"/>
                  </a:p>
                </c:rich>
              </c:tx>
              <c:showLegendKey val="0"/>
              <c:showVal val="1"/>
              <c:showCatName val="0"/>
              <c:showSerName val="0"/>
              <c:showPercent val="0"/>
              <c:showBubbleSize val="0"/>
            </c:dLbl>
            <c:txPr>
              <a:bodyPr/>
              <a:lstStyle/>
              <a:p>
                <a:pPr>
                  <a:defRPr sz="1200" b="0">
                    <a:solidFill>
                      <a:schemeClr val="tx1"/>
                    </a:solidFill>
                  </a:defRPr>
                </a:pPr>
                <a:endParaRPr lang="tr-TR"/>
              </a:p>
            </c:txPr>
            <c:showLegendKey val="0"/>
            <c:showVal val="1"/>
            <c:showCatName val="0"/>
            <c:showSerName val="0"/>
            <c:showPercent val="0"/>
            <c:showBubbleSize val="0"/>
            <c:showLeaderLines val="0"/>
          </c:dLbls>
          <c:cat>
            <c:strRef>
              <c:f>Sayfa1!$F$2:$F$10</c:f>
              <c:strCache>
                <c:ptCount val="9"/>
                <c:pt idx="0">
                  <c:v>M1</c:v>
                </c:pt>
                <c:pt idx="1">
                  <c:v>M2</c:v>
                </c:pt>
                <c:pt idx="2">
                  <c:v>M3</c:v>
                </c:pt>
                <c:pt idx="3">
                  <c:v>M4</c:v>
                </c:pt>
                <c:pt idx="4">
                  <c:v>M5</c:v>
                </c:pt>
                <c:pt idx="5">
                  <c:v>M6</c:v>
                </c:pt>
                <c:pt idx="6">
                  <c:v>M7</c:v>
                </c:pt>
                <c:pt idx="7">
                  <c:v>M8</c:v>
                </c:pt>
                <c:pt idx="8">
                  <c:v>M9</c:v>
                </c:pt>
              </c:strCache>
            </c:strRef>
          </c:cat>
          <c:val>
            <c:numRef>
              <c:f>Sayfa1!$G$2:$G$10</c:f>
              <c:numCache>
                <c:formatCode>General</c:formatCode>
                <c:ptCount val="9"/>
                <c:pt idx="0">
                  <c:v>34.799999999999997</c:v>
                </c:pt>
                <c:pt idx="1">
                  <c:v>29.8</c:v>
                </c:pt>
                <c:pt idx="2">
                  <c:v>35</c:v>
                </c:pt>
                <c:pt idx="3">
                  <c:v>0</c:v>
                </c:pt>
                <c:pt idx="4">
                  <c:v>163.85</c:v>
                </c:pt>
                <c:pt idx="5">
                  <c:v>173.5</c:v>
                </c:pt>
                <c:pt idx="6">
                  <c:v>179.23</c:v>
                </c:pt>
                <c:pt idx="7">
                  <c:v>277.60000000000002</c:v>
                </c:pt>
                <c:pt idx="8">
                  <c:v>444.6</c:v>
                </c:pt>
              </c:numCache>
            </c:numRef>
          </c:val>
        </c:ser>
        <c:ser>
          <c:idx val="1"/>
          <c:order val="1"/>
          <c:tx>
            <c:strRef>
              <c:f>Sayfa1!$H$1</c:f>
              <c:strCache>
                <c:ptCount val="1"/>
                <c:pt idx="0">
                  <c:v>Dark</c:v>
                </c:pt>
              </c:strCache>
            </c:strRef>
          </c:tx>
          <c:spPr>
            <a:pattFill prst="dkDnDiag">
              <a:fgClr>
                <a:schemeClr val="tx1"/>
              </a:fgClr>
              <a:bgClr>
                <a:schemeClr val="bg1"/>
              </a:bgClr>
            </a:pattFill>
          </c:spPr>
          <c:invertIfNegative val="0"/>
          <c:dLbls>
            <c:dLbl>
              <c:idx val="0"/>
              <c:tx>
                <c:rich>
                  <a:bodyPr/>
                  <a:lstStyle/>
                  <a:p>
                    <a:r>
                      <a:rPr lang="tr-TR" sz="1200" b="0" i="0" u="none" strike="noStrike" baseline="0">
                        <a:solidFill>
                          <a:schemeClr val="tx1"/>
                        </a:solidFill>
                        <a:effectLst/>
                      </a:rPr>
                      <a:t>cdeA</a:t>
                    </a:r>
                    <a:endParaRPr lang="en-US"/>
                  </a:p>
                </c:rich>
              </c:tx>
              <c:showLegendKey val="0"/>
              <c:showVal val="1"/>
              <c:showCatName val="0"/>
              <c:showSerName val="0"/>
              <c:showPercent val="0"/>
              <c:showBubbleSize val="0"/>
            </c:dLbl>
            <c:dLbl>
              <c:idx val="1"/>
              <c:tx>
                <c:rich>
                  <a:bodyPr/>
                  <a:lstStyle/>
                  <a:p>
                    <a:r>
                      <a:rPr lang="tr-TR" sz="1200" b="0" i="0" u="none" strike="noStrike" baseline="0">
                        <a:solidFill>
                          <a:schemeClr val="tx1"/>
                        </a:solidFill>
                        <a:effectLst/>
                      </a:rPr>
                      <a:t>deA</a:t>
                    </a:r>
                    <a:endParaRPr lang="en-US"/>
                  </a:p>
                </c:rich>
              </c:tx>
              <c:showLegendKey val="0"/>
              <c:showVal val="1"/>
              <c:showCatName val="0"/>
              <c:showSerName val="0"/>
              <c:showPercent val="0"/>
              <c:showBubbleSize val="0"/>
            </c:dLbl>
            <c:dLbl>
              <c:idx val="2"/>
              <c:tx>
                <c:rich>
                  <a:bodyPr/>
                  <a:lstStyle/>
                  <a:p>
                    <a:r>
                      <a:rPr lang="tr-TR" sz="1200" b="0" i="0" u="none" strike="noStrike" baseline="0">
                        <a:solidFill>
                          <a:schemeClr val="tx1"/>
                        </a:solidFill>
                        <a:effectLst/>
                      </a:rPr>
                      <a:t>eA</a:t>
                    </a:r>
                    <a:endParaRPr lang="en-US"/>
                  </a:p>
                </c:rich>
              </c:tx>
              <c:showLegendKey val="0"/>
              <c:showVal val="1"/>
              <c:showCatName val="0"/>
              <c:showSerName val="0"/>
              <c:showPercent val="0"/>
              <c:showBubbleSize val="0"/>
            </c:dLbl>
            <c:dLbl>
              <c:idx val="3"/>
              <c:tx>
                <c:rich>
                  <a:bodyPr/>
                  <a:lstStyle/>
                  <a:p>
                    <a:r>
                      <a:rPr lang="tr-TR" sz="1200" b="0" i="0" u="none" strike="noStrike" baseline="0">
                        <a:solidFill>
                          <a:schemeClr val="tx1"/>
                        </a:solidFill>
                        <a:effectLst/>
                      </a:rPr>
                      <a:t>cde</a:t>
                    </a:r>
                    <a:endParaRPr lang="en-US"/>
                  </a:p>
                </c:rich>
              </c:tx>
              <c:showLegendKey val="0"/>
              <c:showVal val="1"/>
              <c:showCatName val="0"/>
              <c:showSerName val="0"/>
              <c:showPercent val="0"/>
              <c:showBubbleSize val="0"/>
            </c:dLbl>
            <c:dLbl>
              <c:idx val="4"/>
              <c:tx>
                <c:rich>
                  <a:bodyPr/>
                  <a:lstStyle/>
                  <a:p>
                    <a:r>
                      <a:rPr lang="tr-TR" sz="1200" b="0" i="0" u="none" strike="noStrike" baseline="0">
                        <a:solidFill>
                          <a:schemeClr val="tx1"/>
                        </a:solidFill>
                        <a:effectLst/>
                      </a:rPr>
                      <a:t>bcdA</a:t>
                    </a:r>
                    <a:endParaRPr lang="en-US"/>
                  </a:p>
                </c:rich>
              </c:tx>
              <c:showLegendKey val="0"/>
              <c:showVal val="1"/>
              <c:showCatName val="0"/>
              <c:showSerName val="0"/>
              <c:showPercent val="0"/>
              <c:showBubbleSize val="0"/>
            </c:dLbl>
            <c:dLbl>
              <c:idx val="5"/>
              <c:tx>
                <c:rich>
                  <a:bodyPr/>
                  <a:lstStyle/>
                  <a:p>
                    <a:r>
                      <a:rPr lang="tr-TR" sz="1200" b="0" i="0" u="none" strike="noStrike" baseline="0">
                        <a:solidFill>
                          <a:schemeClr val="tx1"/>
                        </a:solidFill>
                        <a:effectLst/>
                      </a:rPr>
                      <a:t>abA</a:t>
                    </a:r>
                    <a:endParaRPr lang="en-US"/>
                  </a:p>
                </c:rich>
              </c:tx>
              <c:showLegendKey val="0"/>
              <c:showVal val="1"/>
              <c:showCatName val="0"/>
              <c:showSerName val="0"/>
              <c:showPercent val="0"/>
              <c:showBubbleSize val="0"/>
            </c:dLbl>
            <c:dLbl>
              <c:idx val="6"/>
              <c:tx>
                <c:rich>
                  <a:bodyPr/>
                  <a:lstStyle/>
                  <a:p>
                    <a:r>
                      <a:rPr lang="tr-TR" sz="1200" b="0" i="0" u="none" strike="noStrike" baseline="0">
                        <a:solidFill>
                          <a:schemeClr val="tx1"/>
                        </a:solidFill>
                        <a:effectLst/>
                      </a:rPr>
                      <a:t>bcA</a:t>
                    </a:r>
                    <a:endParaRPr lang="en-US"/>
                  </a:p>
                </c:rich>
              </c:tx>
              <c:showLegendKey val="0"/>
              <c:showVal val="1"/>
              <c:showCatName val="0"/>
              <c:showSerName val="0"/>
              <c:showPercent val="0"/>
              <c:showBubbleSize val="0"/>
            </c:dLbl>
            <c:dLbl>
              <c:idx val="7"/>
              <c:tx>
                <c:rich>
                  <a:bodyPr/>
                  <a:lstStyle/>
                  <a:p>
                    <a:r>
                      <a:rPr lang="tr-TR" sz="1200" b="0" i="0" u="none" strike="noStrike" baseline="0">
                        <a:solidFill>
                          <a:schemeClr val="tx1"/>
                        </a:solidFill>
                        <a:effectLst/>
                      </a:rPr>
                      <a:t>aA</a:t>
                    </a:r>
                    <a:endParaRPr lang="en-US"/>
                  </a:p>
                </c:rich>
              </c:tx>
              <c:showLegendKey val="0"/>
              <c:showVal val="1"/>
              <c:showCatName val="0"/>
              <c:showSerName val="0"/>
              <c:showPercent val="0"/>
              <c:showBubbleSize val="0"/>
            </c:dLbl>
            <c:dLbl>
              <c:idx val="8"/>
              <c:tx>
                <c:rich>
                  <a:bodyPr/>
                  <a:lstStyle/>
                  <a:p>
                    <a:r>
                      <a:rPr lang="tr-TR" sz="1200" b="0" i="0" u="none" strike="noStrike" baseline="0">
                        <a:solidFill>
                          <a:schemeClr val="tx1"/>
                        </a:solidFill>
                        <a:effectLst/>
                      </a:rPr>
                      <a:t>cdeB</a:t>
                    </a:r>
                    <a:endParaRPr lang="en-US"/>
                  </a:p>
                </c:rich>
              </c:tx>
              <c:showLegendKey val="0"/>
              <c:showVal val="1"/>
              <c:showCatName val="0"/>
              <c:showSerName val="0"/>
              <c:showPercent val="0"/>
              <c:showBubbleSize val="0"/>
            </c:dLbl>
            <c:txPr>
              <a:bodyPr/>
              <a:lstStyle/>
              <a:p>
                <a:pPr>
                  <a:defRPr sz="1200" b="0">
                    <a:solidFill>
                      <a:schemeClr val="tx1"/>
                    </a:solidFill>
                  </a:defRPr>
                </a:pPr>
                <a:endParaRPr lang="tr-TR"/>
              </a:p>
            </c:txPr>
            <c:showLegendKey val="0"/>
            <c:showVal val="1"/>
            <c:showCatName val="0"/>
            <c:showSerName val="0"/>
            <c:showPercent val="0"/>
            <c:showBubbleSize val="0"/>
            <c:showLeaderLines val="0"/>
          </c:dLbls>
          <c:cat>
            <c:strRef>
              <c:f>Sayfa1!$F$2:$F$10</c:f>
              <c:strCache>
                <c:ptCount val="9"/>
                <c:pt idx="0">
                  <c:v>M1</c:v>
                </c:pt>
                <c:pt idx="1">
                  <c:v>M2</c:v>
                </c:pt>
                <c:pt idx="2">
                  <c:v>M3</c:v>
                </c:pt>
                <c:pt idx="3">
                  <c:v>M4</c:v>
                </c:pt>
                <c:pt idx="4">
                  <c:v>M5</c:v>
                </c:pt>
                <c:pt idx="5">
                  <c:v>M6</c:v>
                </c:pt>
                <c:pt idx="6">
                  <c:v>M7</c:v>
                </c:pt>
                <c:pt idx="7">
                  <c:v>M8</c:v>
                </c:pt>
                <c:pt idx="8">
                  <c:v>M9</c:v>
                </c:pt>
              </c:strCache>
            </c:strRef>
          </c:cat>
          <c:val>
            <c:numRef>
              <c:f>Sayfa1!$H$2:$H$10</c:f>
              <c:numCache>
                <c:formatCode>General</c:formatCode>
                <c:ptCount val="9"/>
                <c:pt idx="0">
                  <c:v>67.23</c:v>
                </c:pt>
                <c:pt idx="1">
                  <c:v>42.5</c:v>
                </c:pt>
                <c:pt idx="2">
                  <c:v>30.4</c:v>
                </c:pt>
                <c:pt idx="3">
                  <c:v>63.37</c:v>
                </c:pt>
                <c:pt idx="4">
                  <c:v>137.15</c:v>
                </c:pt>
                <c:pt idx="5">
                  <c:v>226.73</c:v>
                </c:pt>
                <c:pt idx="6">
                  <c:v>150</c:v>
                </c:pt>
                <c:pt idx="7">
                  <c:v>284.73</c:v>
                </c:pt>
                <c:pt idx="8">
                  <c:v>83.17</c:v>
                </c:pt>
              </c:numCache>
            </c:numRef>
          </c:val>
        </c:ser>
        <c:dLbls>
          <c:showLegendKey val="0"/>
          <c:showVal val="0"/>
          <c:showCatName val="0"/>
          <c:showSerName val="0"/>
          <c:showPercent val="0"/>
          <c:showBubbleSize val="0"/>
        </c:dLbls>
        <c:gapWidth val="150"/>
        <c:axId val="255033728"/>
        <c:axId val="255035264"/>
      </c:barChart>
      <c:catAx>
        <c:axId val="255033728"/>
        <c:scaling>
          <c:orientation val="minMax"/>
        </c:scaling>
        <c:delete val="0"/>
        <c:axPos val="b"/>
        <c:majorTickMark val="out"/>
        <c:minorTickMark val="none"/>
        <c:tickLblPos val="nextTo"/>
        <c:crossAx val="255035264"/>
        <c:crosses val="autoZero"/>
        <c:auto val="1"/>
        <c:lblAlgn val="ctr"/>
        <c:lblOffset val="100"/>
        <c:noMultiLvlLbl val="0"/>
      </c:catAx>
      <c:valAx>
        <c:axId val="255035264"/>
        <c:scaling>
          <c:orientation val="minMax"/>
        </c:scaling>
        <c:delete val="0"/>
        <c:axPos val="l"/>
        <c:majorGridlines/>
        <c:numFmt formatCode="General" sourceLinked="1"/>
        <c:majorTickMark val="out"/>
        <c:minorTickMark val="none"/>
        <c:tickLblPos val="nextTo"/>
        <c:crossAx val="255033728"/>
        <c:crosses val="autoZero"/>
        <c:crossBetween val="between"/>
      </c:valAx>
    </c:plotArea>
    <c:legend>
      <c:legendPos val="r"/>
      <c:legendEntry>
        <c:idx val="0"/>
        <c:txPr>
          <a:bodyPr/>
          <a:lstStyle/>
          <a:p>
            <a:pPr>
              <a:defRPr sz="1200"/>
            </a:pPr>
            <a:endParaRPr lang="tr-TR"/>
          </a:p>
        </c:txPr>
      </c:legendEntry>
      <c:legendEntry>
        <c:idx val="1"/>
        <c:txPr>
          <a:bodyPr/>
          <a:lstStyle/>
          <a:p>
            <a:pPr>
              <a:defRPr sz="1200"/>
            </a:pPr>
            <a:endParaRPr lang="tr-TR"/>
          </a:p>
        </c:txPr>
      </c:legendEntry>
      <c:layout>
        <c:manualLayout>
          <c:xMode val="edge"/>
          <c:yMode val="edge"/>
          <c:x val="0.87653051181102359"/>
          <c:y val="0.47329377945403883"/>
          <c:w val="0.12346946370509657"/>
          <c:h val="0.14351518560179977"/>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1433</TotalTime>
  <Pages>6</Pages>
  <Words>1856</Words>
  <Characters>10581</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73</cp:revision>
  <dcterms:created xsi:type="dcterms:W3CDTF">2022-04-20T08:22:00Z</dcterms:created>
  <dcterms:modified xsi:type="dcterms:W3CDTF">2022-05-09T09:35:00Z</dcterms:modified>
</cp:coreProperties>
</file>